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after="0" w:line="600" w:lineRule="exact"/>
        <w:rPr>
          <w:rFonts w:ascii="方正小标宋简体" w:hAnsi="方正小标宋简体" w:eastAsia="方正小标宋简体"/>
        </w:rPr>
      </w:pPr>
    </w:p>
    <w:p>
      <w:pPr>
        <w:widowControl w:val="0"/>
        <w:tabs>
          <w:tab w:val="left" w:pos="312"/>
        </w:tabs>
        <w:adjustRightInd/>
        <w:snapToGrid/>
        <w:spacing w:after="0" w:line="600" w:lineRule="exact"/>
        <w:jc w:val="center"/>
        <w:rPr>
          <w:rFonts w:ascii="方正小标宋简体" w:hAnsi="方正小标宋简体" w:eastAsia="方正小标宋简体" w:cs="Times New Roman"/>
          <w:sz w:val="44"/>
          <w:szCs w:val="44"/>
        </w:rPr>
      </w:pPr>
    </w:p>
    <w:p>
      <w:pPr>
        <w:widowControl w:val="0"/>
        <w:tabs>
          <w:tab w:val="left" w:pos="312"/>
        </w:tabs>
        <w:adjustRightInd/>
        <w:snapToGrid/>
        <w:spacing w:after="0" w:line="600" w:lineRule="exact"/>
        <w:jc w:val="center"/>
        <w:rPr>
          <w:rFonts w:ascii="方正小标宋简体" w:hAnsi="方正小标宋简体" w:eastAsia="方正小标宋简体" w:cs="Times New Roman"/>
          <w:sz w:val="44"/>
          <w:szCs w:val="44"/>
        </w:rPr>
      </w:pPr>
    </w:p>
    <w:p>
      <w:pPr>
        <w:widowControl w:val="0"/>
        <w:tabs>
          <w:tab w:val="left" w:pos="312"/>
        </w:tabs>
        <w:adjustRightInd/>
        <w:snapToGrid/>
        <w:spacing w:after="0" w:line="600" w:lineRule="exact"/>
        <w:jc w:val="center"/>
        <w:rPr>
          <w:rFonts w:ascii="方正小标宋简体" w:hAnsi="方正小标宋简体" w:eastAsia="方正小标宋简体" w:cs="Times New Roman"/>
          <w:sz w:val="44"/>
          <w:szCs w:val="44"/>
        </w:rPr>
      </w:pPr>
    </w:p>
    <w:p>
      <w:pPr>
        <w:pStyle w:val="2"/>
        <w:spacing w:line="600" w:lineRule="exact"/>
        <w:rPr>
          <w:rFonts w:ascii="方正小标宋简体" w:hAnsi="方正小标宋简体" w:eastAsia="方正小标宋简体"/>
        </w:rPr>
      </w:pPr>
    </w:p>
    <w:p>
      <w:pPr>
        <w:pStyle w:val="2"/>
        <w:spacing w:line="600" w:lineRule="exact"/>
        <w:rPr>
          <w:rFonts w:ascii="仿宋_GB2312" w:hAnsi="仿宋_GB2312" w:eastAsia="仿宋_GB2312"/>
          <w:sz w:val="32"/>
          <w:szCs w:val="32"/>
        </w:rPr>
      </w:pPr>
      <w:bookmarkStart w:id="0" w:name="_GoBack"/>
      <w:r>
        <w:rPr>
          <w:rFonts w:hint="eastAsia" w:ascii="仿宋_GB2312" w:hAnsi="仿宋_GB2312" w:eastAsia="仿宋_GB2312" w:cs="仿宋_GB2312"/>
          <w:sz w:val="32"/>
          <w:szCs w:val="32"/>
        </w:rPr>
        <w:t>滕行审发〔</w:t>
      </w:r>
      <w:r>
        <w:rPr>
          <w:rFonts w:ascii="仿宋_GB2312" w:hAnsi="仿宋_GB2312" w:eastAsia="仿宋_GB2312" w:cs="仿宋_GB2312"/>
          <w:sz w:val="32"/>
          <w:szCs w:val="32"/>
        </w:rPr>
        <w:t>2022</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14</w:t>
      </w:r>
      <w:r>
        <w:rPr>
          <w:rFonts w:hint="eastAsia" w:ascii="仿宋_GB2312" w:hAnsi="仿宋_GB2312" w:eastAsia="仿宋_GB2312" w:cs="仿宋_GB2312"/>
          <w:sz w:val="32"/>
          <w:szCs w:val="32"/>
        </w:rPr>
        <w:t>号</w:t>
      </w:r>
    </w:p>
    <w:bookmarkEnd w:id="0"/>
    <w:p>
      <w:pPr>
        <w:widowControl w:val="0"/>
        <w:tabs>
          <w:tab w:val="left" w:pos="312"/>
        </w:tabs>
        <w:adjustRightInd/>
        <w:snapToGrid/>
        <w:spacing w:after="0" w:line="600" w:lineRule="exact"/>
        <w:jc w:val="center"/>
        <w:rPr>
          <w:rFonts w:ascii="方正小标宋简体" w:hAnsi="方正小标宋简体" w:eastAsia="方正小标宋简体" w:cs="Times New Roman"/>
          <w:sz w:val="44"/>
          <w:szCs w:val="44"/>
        </w:rPr>
      </w:pPr>
    </w:p>
    <w:p>
      <w:pPr>
        <w:widowControl w:val="0"/>
        <w:tabs>
          <w:tab w:val="left" w:pos="312"/>
        </w:tabs>
        <w:adjustRightInd/>
        <w:snapToGrid/>
        <w:spacing w:after="0" w:line="600" w:lineRule="exact"/>
        <w:jc w:val="center"/>
        <w:rPr>
          <w:rFonts w:ascii="仿宋_GB2312" w:hAnsi="仿宋_GB2312" w:eastAsia="仿宋_GB2312" w:cs="Times New Roman"/>
          <w:sz w:val="32"/>
          <w:szCs w:val="32"/>
        </w:rPr>
      </w:pPr>
      <w:r>
        <w:rPr>
          <w:rFonts w:hint="eastAsia" w:ascii="方正小标宋简体" w:hAnsi="方正小标宋简体" w:eastAsia="方正小标宋简体" w:cs="方正小标宋简体"/>
          <w:sz w:val="44"/>
          <w:szCs w:val="44"/>
        </w:rPr>
        <w:t>滕州市行政审批服务局</w:t>
      </w:r>
    </w:p>
    <w:p>
      <w:pPr>
        <w:spacing w:after="0" w:line="600" w:lineRule="exact"/>
        <w:jc w:val="center"/>
        <w:rPr>
          <w:rFonts w:ascii="方正小标宋简体" w:hAnsi="方正小标宋简体" w:eastAsia="方正小标宋简体" w:cs="Times New Roman"/>
          <w:sz w:val="44"/>
          <w:szCs w:val="44"/>
        </w:rPr>
      </w:pPr>
      <w:r>
        <w:rPr>
          <w:rFonts w:hint="eastAsia" w:ascii="方正小标宋简体" w:hAnsi="方正小标宋简体" w:eastAsia="方正小标宋简体" w:cs="方正小标宋简体"/>
          <w:sz w:val="44"/>
          <w:szCs w:val="44"/>
        </w:rPr>
        <w:t>关于印发《滕州市行政审批服务局证明事项告知承诺制核查制度》的通知</w:t>
      </w:r>
    </w:p>
    <w:p>
      <w:pPr>
        <w:adjustRightInd/>
        <w:snapToGrid/>
        <w:spacing w:after="0" w:line="600" w:lineRule="exact"/>
        <w:rPr>
          <w:rFonts w:ascii="仿宋_GB2312" w:hAnsi="宋体" w:eastAsia="仿宋_GB2312" w:cs="Times New Roman"/>
          <w:sz w:val="31"/>
          <w:szCs w:val="31"/>
        </w:rPr>
      </w:pPr>
    </w:p>
    <w:p>
      <w:pPr>
        <w:widowControl w:val="0"/>
        <w:adjustRightInd/>
        <w:snapToGrid/>
        <w:spacing w:after="0" w:line="600" w:lineRule="exact"/>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局各科室、市政务服务中心、市公共资源交易中心：</w:t>
      </w:r>
      <w:r>
        <w:rPr>
          <w:rFonts w:ascii="仿宋_GB2312" w:hAnsi="仿宋_GB2312" w:eastAsia="仿宋_GB2312" w:cs="仿宋_GB2312"/>
          <w:sz w:val="32"/>
          <w:szCs w:val="32"/>
        </w:rPr>
        <w:t xml:space="preserve"> </w:t>
      </w:r>
    </w:p>
    <w:p>
      <w:pPr>
        <w:widowControl w:val="0"/>
        <w:adjustRightInd/>
        <w:snapToGrid/>
        <w:spacing w:after="0" w:line="60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现将《滕州市行政审批服务局证明事项告知承诺制核查制度》印发给你们，请遵照执行。</w:t>
      </w:r>
      <w:r>
        <w:rPr>
          <w:rFonts w:ascii="仿宋_GB2312" w:hAnsi="仿宋_GB2312" w:eastAsia="仿宋_GB2312" w:cs="仿宋_GB2312"/>
          <w:sz w:val="32"/>
          <w:szCs w:val="32"/>
        </w:rPr>
        <w:t xml:space="preserve"> </w:t>
      </w:r>
    </w:p>
    <w:p>
      <w:pPr>
        <w:widowControl w:val="0"/>
        <w:adjustRightInd/>
        <w:snapToGrid/>
        <w:spacing w:after="0" w:line="600" w:lineRule="exact"/>
        <w:ind w:firstLine="640" w:firstLineChars="200"/>
        <w:jc w:val="both"/>
        <w:rPr>
          <w:rFonts w:ascii="仿宋_GB2312" w:hAnsi="仿宋_GB2312" w:eastAsia="仿宋_GB2312" w:cs="仿宋_GB2312"/>
          <w:sz w:val="32"/>
          <w:szCs w:val="32"/>
        </w:rPr>
      </w:pPr>
    </w:p>
    <w:p>
      <w:pPr>
        <w:widowControl w:val="0"/>
        <w:adjustRightInd/>
        <w:snapToGrid/>
        <w:spacing w:after="0" w:line="600" w:lineRule="exact"/>
        <w:ind w:firstLine="640" w:firstLineChars="200"/>
        <w:rPr>
          <w:rFonts w:ascii="仿宋_GB2312" w:hAnsi="仿宋_GB2312" w:eastAsia="仿宋_GB2312" w:cs="Times New Roman"/>
          <w:sz w:val="32"/>
          <w:szCs w:val="32"/>
        </w:rPr>
      </w:pPr>
    </w:p>
    <w:p>
      <w:pPr>
        <w:pStyle w:val="2"/>
        <w:spacing w:after="0" w:line="600" w:lineRule="exact"/>
      </w:pPr>
    </w:p>
    <w:p>
      <w:pPr>
        <w:widowControl w:val="0"/>
        <w:adjustRightInd/>
        <w:snapToGrid/>
        <w:spacing w:after="0" w:line="600" w:lineRule="exact"/>
        <w:ind w:firstLine="640" w:firstLineChars="200"/>
        <w:jc w:val="center"/>
        <w:rPr>
          <w:rFonts w:ascii="仿宋_GB2312" w:hAnsi="仿宋_GB2312" w:eastAsia="仿宋_GB2312" w:cs="Times New Roman"/>
          <w:sz w:val="32"/>
          <w:szCs w:val="32"/>
        </w:rPr>
      </w:pP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滕州市行政审批服务局</w:t>
      </w:r>
    </w:p>
    <w:p>
      <w:pPr>
        <w:widowControl w:val="0"/>
        <w:tabs>
          <w:tab w:val="left" w:pos="312"/>
        </w:tabs>
        <w:adjustRightInd/>
        <w:snapToGrid/>
        <w:spacing w:after="0" w:line="600" w:lineRule="exact"/>
        <w:jc w:val="center"/>
        <w:rPr>
          <w:rFonts w:ascii="仿宋_GB2312" w:hAnsi="仿宋_GB2312" w:eastAsia="仿宋_GB2312" w:cs="仿宋_GB2312"/>
          <w:sz w:val="32"/>
          <w:szCs w:val="32"/>
        </w:rPr>
      </w:pPr>
      <w:r>
        <w:rPr>
          <w:rFonts w:ascii="仿宋_GB2312" w:hAnsi="仿宋_GB2312" w:eastAsia="仿宋_GB2312" w:cs="仿宋_GB2312"/>
          <w:sz w:val="32"/>
          <w:szCs w:val="32"/>
        </w:rPr>
        <w:t xml:space="preserve">                         2022</w:t>
      </w:r>
      <w:r>
        <w:rPr>
          <w:rFonts w:hint="eastAsia" w:ascii="仿宋_GB2312" w:hAnsi="仿宋_GB2312" w:eastAsia="仿宋_GB2312" w:cs="仿宋_GB2312"/>
          <w:sz w:val="32"/>
          <w:szCs w:val="32"/>
        </w:rPr>
        <w:t>年</w:t>
      </w:r>
      <w:r>
        <w:rPr>
          <w:rFonts w:ascii="仿宋_GB2312" w:hAnsi="仿宋_GB2312" w:eastAsia="仿宋_GB2312" w:cs="仿宋_GB2312"/>
          <w:sz w:val="32"/>
          <w:szCs w:val="32"/>
        </w:rPr>
        <w:t>5</w:t>
      </w:r>
      <w:r>
        <w:rPr>
          <w:rFonts w:hint="eastAsia" w:ascii="仿宋_GB2312" w:hAnsi="仿宋_GB2312" w:eastAsia="仿宋_GB2312" w:cs="仿宋_GB2312"/>
          <w:sz w:val="32"/>
          <w:szCs w:val="32"/>
        </w:rPr>
        <w:t>月</w:t>
      </w:r>
      <w:r>
        <w:rPr>
          <w:rFonts w:ascii="仿宋_GB2312" w:hAnsi="仿宋_GB2312" w:eastAsia="仿宋_GB2312" w:cs="仿宋_GB2312"/>
          <w:sz w:val="32"/>
          <w:szCs w:val="32"/>
        </w:rPr>
        <w:t>26</w:t>
      </w:r>
      <w:r>
        <w:rPr>
          <w:rFonts w:hint="eastAsia" w:ascii="仿宋_GB2312" w:hAnsi="仿宋_GB2312" w:eastAsia="仿宋_GB2312" w:cs="仿宋_GB2312"/>
          <w:sz w:val="32"/>
          <w:szCs w:val="32"/>
        </w:rPr>
        <w:t>日</w:t>
      </w:r>
      <w:r>
        <w:rPr>
          <w:rFonts w:ascii="仿宋_GB2312" w:hAnsi="仿宋_GB2312" w:eastAsia="仿宋_GB2312" w:cs="仿宋_GB2312"/>
          <w:sz w:val="32"/>
          <w:szCs w:val="32"/>
        </w:rPr>
        <w:t xml:space="preserve"> </w:t>
      </w:r>
    </w:p>
    <w:p>
      <w:pPr>
        <w:pStyle w:val="2"/>
        <w:spacing w:line="600" w:lineRule="exact"/>
        <w:rPr>
          <w:rFonts w:ascii="仿宋_GB2312" w:hAnsi="仿宋_GB2312" w:eastAsia="仿宋_GB2312"/>
          <w:sz w:val="32"/>
          <w:szCs w:val="32"/>
        </w:rPr>
      </w:pPr>
    </w:p>
    <w:p>
      <w:pPr>
        <w:spacing w:after="0" w:line="600" w:lineRule="exact"/>
        <w:jc w:val="both"/>
        <w:rPr>
          <w:rFonts w:ascii="方正小标宋简体" w:hAnsi="方正小标宋简体" w:eastAsia="方正小标宋简体" w:cs="Times New Roman"/>
          <w:sz w:val="44"/>
          <w:szCs w:val="44"/>
        </w:rPr>
      </w:pPr>
    </w:p>
    <w:p>
      <w:pPr>
        <w:widowControl w:val="0"/>
        <w:spacing w:after="0" w:line="600" w:lineRule="exact"/>
        <w:ind w:firstLine="2200" w:firstLineChars="500"/>
        <w:jc w:val="both"/>
        <w:rPr>
          <w:rFonts w:ascii="方正小标宋简体" w:hAnsi="方正小标宋简体" w:eastAsia="方正小标宋简体" w:cs="Times New Roman"/>
          <w:sz w:val="44"/>
          <w:szCs w:val="44"/>
        </w:rPr>
      </w:pPr>
    </w:p>
    <w:p>
      <w:pPr>
        <w:widowControl w:val="0"/>
        <w:spacing w:after="0" w:line="600" w:lineRule="exact"/>
        <w:ind w:firstLine="2200" w:firstLineChars="500"/>
        <w:jc w:val="both"/>
        <w:rPr>
          <w:rFonts w:ascii="方正小标宋简体" w:hAnsi="方正小标宋简体" w:eastAsia="方正小标宋简体" w:cs="Times New Roman"/>
          <w:sz w:val="44"/>
          <w:szCs w:val="44"/>
        </w:rPr>
      </w:pPr>
      <w:r>
        <w:rPr>
          <w:rFonts w:hint="eastAsia" w:ascii="方正小标宋简体" w:hAnsi="方正小标宋简体" w:eastAsia="方正小标宋简体" w:cs="方正小标宋简体"/>
          <w:sz w:val="44"/>
          <w:szCs w:val="44"/>
        </w:rPr>
        <w:t>滕州市行政审批服务局</w:t>
      </w:r>
    </w:p>
    <w:p>
      <w:pPr>
        <w:widowControl w:val="0"/>
        <w:spacing w:after="0" w:line="600" w:lineRule="exact"/>
        <w:ind w:firstLine="220" w:firstLineChars="50"/>
        <w:jc w:val="center"/>
        <w:rPr>
          <w:rFonts w:ascii="方正小标宋简体" w:hAnsi="方正小标宋简体" w:eastAsia="方正小标宋简体" w:cs="Times New Roman"/>
          <w:sz w:val="44"/>
          <w:szCs w:val="44"/>
        </w:rPr>
      </w:pPr>
      <w:r>
        <w:rPr>
          <w:rFonts w:hint="eastAsia" w:ascii="方正小标宋简体" w:hAnsi="方正小标宋简体" w:eastAsia="方正小标宋简体" w:cs="方正小标宋简体"/>
          <w:sz w:val="44"/>
          <w:szCs w:val="44"/>
        </w:rPr>
        <w:t>证明事项告知承诺制核查制度</w:t>
      </w:r>
    </w:p>
    <w:p>
      <w:pPr>
        <w:widowControl w:val="0"/>
        <w:spacing w:after="0" w:line="600" w:lineRule="exact"/>
        <w:ind w:firstLine="640" w:firstLineChars="200"/>
        <w:jc w:val="both"/>
        <w:rPr>
          <w:rFonts w:ascii="仿宋_GB2312" w:hAnsi="仿宋" w:eastAsia="仿宋_GB2312" w:cs="仿宋_GB2312"/>
          <w:sz w:val="32"/>
          <w:szCs w:val="32"/>
        </w:rPr>
      </w:pPr>
      <w:r>
        <w:rPr>
          <w:rFonts w:ascii="仿宋_GB2312" w:hAnsi="仿宋" w:eastAsia="仿宋_GB2312" w:cs="仿宋_GB2312"/>
          <w:sz w:val="32"/>
          <w:szCs w:val="32"/>
        </w:rPr>
        <w:t xml:space="preserve">                 </w:t>
      </w:r>
    </w:p>
    <w:p>
      <w:pPr>
        <w:widowControl w:val="0"/>
        <w:spacing w:after="0" w:line="600" w:lineRule="exact"/>
        <w:ind w:firstLine="643" w:firstLineChars="200"/>
        <w:jc w:val="both"/>
        <w:rPr>
          <w:rFonts w:ascii="仿宋_GB2312" w:hAnsi="仿宋" w:eastAsia="仿宋_GB2312" w:cs="Times New Roman"/>
          <w:sz w:val="32"/>
          <w:szCs w:val="32"/>
        </w:rPr>
      </w:pPr>
      <w:r>
        <w:rPr>
          <w:rFonts w:hint="eastAsia" w:ascii="仿宋_GB2312" w:hAnsi="仿宋" w:eastAsia="仿宋_GB2312" w:cs="仿宋_GB2312"/>
          <w:b/>
          <w:bCs/>
          <w:sz w:val="32"/>
          <w:szCs w:val="32"/>
        </w:rPr>
        <w:t>第一条</w:t>
      </w:r>
      <w:r>
        <w:rPr>
          <w:rFonts w:ascii="仿宋_GB2312" w:hAnsi="仿宋" w:eastAsia="仿宋_GB2312" w:cs="仿宋_GB2312"/>
          <w:b/>
          <w:bCs/>
          <w:sz w:val="32"/>
          <w:szCs w:val="32"/>
        </w:rPr>
        <w:t xml:space="preserve"> </w:t>
      </w:r>
      <w:r>
        <w:rPr>
          <w:rFonts w:hint="eastAsia" w:ascii="仿宋_GB2312" w:hAnsi="仿宋" w:eastAsia="仿宋_GB2312" w:cs="仿宋_GB2312"/>
          <w:sz w:val="32"/>
          <w:szCs w:val="32"/>
        </w:rPr>
        <w:t>为推进证明事项告知承诺制工作，规范证明事项信息核查行为</w:t>
      </w:r>
      <w:r>
        <w:rPr>
          <w:rFonts w:ascii="仿宋_GB2312" w:hAnsi="仿宋" w:eastAsia="仿宋_GB2312" w:cs="仿宋_GB2312"/>
          <w:sz w:val="32"/>
          <w:szCs w:val="32"/>
        </w:rPr>
        <w:t xml:space="preserve">, </w:t>
      </w:r>
      <w:r>
        <w:rPr>
          <w:rFonts w:hint="eastAsia" w:ascii="仿宋_GB2312" w:hAnsi="仿宋" w:eastAsia="仿宋_GB2312" w:cs="仿宋_GB2312"/>
          <w:sz w:val="32"/>
          <w:szCs w:val="32"/>
        </w:rPr>
        <w:t>根据《滕州市全面推行证明事项告知承诺制工作指引》规定要求，结合本局实际，制定本制度。</w:t>
      </w:r>
    </w:p>
    <w:p>
      <w:pPr>
        <w:widowControl w:val="0"/>
        <w:spacing w:after="0" w:line="600" w:lineRule="exact"/>
        <w:ind w:firstLine="643" w:firstLineChars="200"/>
        <w:jc w:val="both"/>
        <w:rPr>
          <w:rFonts w:ascii="仿宋_GB2312" w:hAnsi="仿宋" w:eastAsia="仿宋_GB2312" w:cs="Times New Roman"/>
          <w:sz w:val="32"/>
          <w:szCs w:val="32"/>
        </w:rPr>
      </w:pPr>
      <w:r>
        <w:rPr>
          <w:rFonts w:hint="eastAsia" w:ascii="仿宋_GB2312" w:hAnsi="仿宋" w:eastAsia="仿宋_GB2312" w:cs="仿宋_GB2312"/>
          <w:b/>
          <w:bCs/>
          <w:sz w:val="32"/>
          <w:szCs w:val="32"/>
        </w:rPr>
        <w:t>第二条</w:t>
      </w:r>
      <w:r>
        <w:rPr>
          <w:rFonts w:ascii="仿宋_GB2312" w:hAnsi="仿宋" w:eastAsia="仿宋_GB2312" w:cs="仿宋_GB2312"/>
          <w:sz w:val="32"/>
          <w:szCs w:val="32"/>
        </w:rPr>
        <w:t xml:space="preserve"> </w:t>
      </w:r>
      <w:r>
        <w:rPr>
          <w:rFonts w:hint="eastAsia" w:ascii="仿宋_GB2312" w:hAnsi="仿宋" w:eastAsia="仿宋_GB2312" w:cs="仿宋_GB2312"/>
          <w:sz w:val="32"/>
          <w:szCs w:val="32"/>
        </w:rPr>
        <w:t>本制度所称证明事项信息核查（以下简称“信息核查”），是指申请人选择证明事项告知承诺制方式申请办理行政事项，本局对申请人承诺证明事项内容信息真实性、有效性进行查询、核实、确认的活动。</w:t>
      </w:r>
    </w:p>
    <w:p>
      <w:pPr>
        <w:widowControl w:val="0"/>
        <w:spacing w:after="0" w:line="600" w:lineRule="exact"/>
        <w:ind w:firstLine="643" w:firstLineChars="200"/>
        <w:jc w:val="both"/>
        <w:rPr>
          <w:rFonts w:ascii="仿宋_GB2312" w:hAnsi="仿宋" w:eastAsia="仿宋_GB2312" w:cs="Times New Roman"/>
          <w:sz w:val="32"/>
          <w:szCs w:val="32"/>
        </w:rPr>
      </w:pPr>
      <w:r>
        <w:rPr>
          <w:rFonts w:hint="eastAsia" w:ascii="仿宋_GB2312" w:hAnsi="仿宋" w:eastAsia="仿宋_GB2312" w:cs="仿宋_GB2312"/>
          <w:b/>
          <w:bCs/>
          <w:sz w:val="32"/>
          <w:szCs w:val="32"/>
        </w:rPr>
        <w:t>第三条</w:t>
      </w:r>
      <w:r>
        <w:rPr>
          <w:rFonts w:ascii="仿宋_GB2312" w:hAnsi="仿宋" w:eastAsia="仿宋_GB2312" w:cs="仿宋_GB2312"/>
          <w:sz w:val="32"/>
          <w:szCs w:val="32"/>
        </w:rPr>
        <w:t xml:space="preserve"> </w:t>
      </w:r>
      <w:r>
        <w:rPr>
          <w:rFonts w:hint="eastAsia" w:ascii="仿宋_GB2312" w:hAnsi="仿宋" w:eastAsia="仿宋_GB2312" w:cs="仿宋_GB2312"/>
          <w:sz w:val="32"/>
          <w:szCs w:val="32"/>
        </w:rPr>
        <w:t>信息核查方式包括线上核查、线下核查、现场核查及免于核查等。</w:t>
      </w:r>
    </w:p>
    <w:p>
      <w:pPr>
        <w:widowControl w:val="0"/>
        <w:spacing w:after="0" w:line="600" w:lineRule="exact"/>
        <w:ind w:firstLine="640" w:firstLineChars="200"/>
        <w:jc w:val="both"/>
        <w:rPr>
          <w:rFonts w:ascii="仿宋_GB2312" w:hAnsi="宋体" w:eastAsia="仿宋_GB2312" w:cs="Times New Roman"/>
          <w:color w:val="000000"/>
          <w:sz w:val="32"/>
          <w:szCs w:val="32"/>
        </w:rPr>
      </w:pPr>
      <w:r>
        <w:rPr>
          <w:rFonts w:hint="eastAsia" w:ascii="仿宋_GB2312" w:hAnsi="宋体" w:eastAsia="仿宋_GB2312" w:cs="仿宋_GB2312"/>
          <w:color w:val="000000"/>
          <w:sz w:val="32"/>
          <w:szCs w:val="32"/>
        </w:rPr>
        <w:t>（一）线上核查，是指通过电子证照库、政务信息共享平台、政务服务移动客户端、其他信息数据库等收集、比对相关数据进行核查；</w:t>
      </w:r>
    </w:p>
    <w:p>
      <w:pPr>
        <w:widowControl w:val="0"/>
        <w:spacing w:after="0" w:line="600" w:lineRule="exact"/>
        <w:ind w:firstLine="640" w:firstLineChars="200"/>
        <w:jc w:val="both"/>
        <w:rPr>
          <w:rFonts w:ascii="仿宋_GB2312" w:hAnsi="宋体" w:eastAsia="仿宋_GB2312" w:cs="Times New Roman"/>
          <w:color w:val="000000"/>
          <w:sz w:val="32"/>
          <w:szCs w:val="32"/>
        </w:rPr>
      </w:pPr>
      <w:r>
        <w:rPr>
          <w:rFonts w:hint="eastAsia" w:ascii="仿宋_GB2312" w:hAnsi="宋体" w:eastAsia="仿宋_GB2312" w:cs="仿宋_GB2312"/>
          <w:color w:val="000000"/>
          <w:sz w:val="32"/>
          <w:szCs w:val="32"/>
        </w:rPr>
        <w:t>（二）线下核查，是指通过本局内部信息共享配合或请求其他行政机关和单位协助进行核查；</w:t>
      </w:r>
    </w:p>
    <w:p>
      <w:pPr>
        <w:widowControl w:val="0"/>
        <w:spacing w:after="0" w:line="600" w:lineRule="exact"/>
        <w:ind w:firstLine="640" w:firstLineChars="200"/>
        <w:jc w:val="both"/>
        <w:rPr>
          <w:rFonts w:ascii="仿宋_GB2312" w:hAnsi="宋体" w:eastAsia="仿宋_GB2312" w:cs="Times New Roman"/>
          <w:color w:val="000000"/>
          <w:sz w:val="32"/>
          <w:szCs w:val="32"/>
        </w:rPr>
      </w:pPr>
      <w:r>
        <w:rPr>
          <w:rFonts w:hint="eastAsia" w:ascii="仿宋_GB2312" w:hAnsi="宋体" w:eastAsia="仿宋_GB2312" w:cs="仿宋_GB2312"/>
          <w:color w:val="000000"/>
          <w:sz w:val="32"/>
          <w:szCs w:val="32"/>
        </w:rPr>
        <w:t>（三）现场核查，是指通过现场检查、勘验等进行核查；</w:t>
      </w:r>
    </w:p>
    <w:p>
      <w:pPr>
        <w:widowControl w:val="0"/>
        <w:spacing w:after="0" w:line="600" w:lineRule="exact"/>
        <w:ind w:firstLine="640" w:firstLineChars="200"/>
        <w:jc w:val="both"/>
        <w:rPr>
          <w:rFonts w:ascii="仿宋_GB2312" w:hAnsi="仿宋" w:eastAsia="仿宋_GB2312" w:cs="Times New Roman"/>
          <w:color w:val="000000"/>
          <w:sz w:val="32"/>
          <w:szCs w:val="32"/>
        </w:rPr>
      </w:pPr>
      <w:r>
        <w:rPr>
          <w:rFonts w:hint="eastAsia" w:ascii="仿宋_GB2312" w:hAnsi="宋体" w:eastAsia="仿宋_GB2312" w:cs="仿宋_GB2312"/>
          <w:color w:val="000000"/>
          <w:sz w:val="32"/>
          <w:szCs w:val="32"/>
        </w:rPr>
        <w:t>法律、法规、规章及规范性文件已明确规定承诺书等代替证明材料且无需核查的免于核查，本局不具有行业监管职责以及不具备现场检查、勘验职责的，与相关行政机关和单位建立衔接机制后，由相关行政机关和单位加强事中事后监管，本局可免于核查。</w:t>
      </w:r>
    </w:p>
    <w:p>
      <w:pPr>
        <w:widowControl w:val="0"/>
        <w:spacing w:after="0" w:line="600" w:lineRule="exact"/>
        <w:ind w:firstLine="643" w:firstLineChars="200"/>
        <w:jc w:val="both"/>
        <w:rPr>
          <w:rFonts w:ascii="仿宋_GB2312" w:hAnsi="宋体" w:eastAsia="仿宋_GB2312" w:cs="Times New Roman"/>
          <w:color w:val="000000"/>
          <w:sz w:val="32"/>
          <w:szCs w:val="32"/>
        </w:rPr>
      </w:pPr>
      <w:r>
        <w:rPr>
          <w:rFonts w:hint="eastAsia" w:ascii="仿宋_GB2312" w:hAnsi="仿宋" w:eastAsia="仿宋_GB2312" w:cs="仿宋_GB2312"/>
          <w:b/>
          <w:bCs/>
          <w:sz w:val="32"/>
          <w:szCs w:val="32"/>
        </w:rPr>
        <w:t>第四条</w:t>
      </w:r>
      <w:r>
        <w:rPr>
          <w:rFonts w:ascii="仿宋_GB2312" w:hAnsi="仿宋" w:eastAsia="仿宋_GB2312" w:cs="仿宋_GB2312"/>
          <w:sz w:val="32"/>
          <w:szCs w:val="32"/>
        </w:rPr>
        <w:t xml:space="preserve"> </w:t>
      </w:r>
      <w:r>
        <w:rPr>
          <w:rFonts w:hint="eastAsia" w:ascii="仿宋_GB2312" w:hAnsi="仿宋" w:eastAsia="仿宋_GB2312" w:cs="仿宋_GB2312"/>
          <w:sz w:val="32"/>
          <w:szCs w:val="32"/>
        </w:rPr>
        <w:t>信息核查时间，</w:t>
      </w:r>
      <w:r>
        <w:rPr>
          <w:rFonts w:hint="eastAsia" w:ascii="仿宋_GB2312" w:hAnsi="宋体" w:eastAsia="仿宋_GB2312" w:cs="仿宋_GB2312"/>
          <w:color w:val="000000"/>
          <w:sz w:val="32"/>
          <w:szCs w:val="32"/>
        </w:rPr>
        <w:t>申请人承诺并当场提出申请的，线上核查原则上当场进行并当场反馈，线下核查、现场核查在规定或承诺期限内进行并按时反馈，核查所需时间不计入行政事项办理期限。</w:t>
      </w:r>
    </w:p>
    <w:p>
      <w:pPr>
        <w:widowControl w:val="0"/>
        <w:spacing w:after="0" w:line="600" w:lineRule="exact"/>
        <w:ind w:firstLine="643" w:firstLineChars="200"/>
        <w:jc w:val="both"/>
        <w:rPr>
          <w:rFonts w:ascii="仿宋_GB2312" w:hAnsi="仿宋" w:eastAsia="仿宋_GB2312" w:cs="Times New Roman"/>
          <w:sz w:val="32"/>
          <w:szCs w:val="32"/>
        </w:rPr>
      </w:pPr>
      <w:r>
        <w:rPr>
          <w:rFonts w:hint="eastAsia" w:ascii="仿宋_GB2312" w:hAnsi="仿宋" w:eastAsia="仿宋_GB2312" w:cs="仿宋_GB2312"/>
          <w:b/>
          <w:bCs/>
          <w:sz w:val="32"/>
          <w:szCs w:val="32"/>
        </w:rPr>
        <w:t>第五条</w:t>
      </w:r>
      <w:r>
        <w:rPr>
          <w:rFonts w:ascii="仿宋_GB2312" w:hAnsi="仿宋" w:eastAsia="仿宋_GB2312" w:cs="仿宋_GB2312"/>
          <w:b/>
          <w:bCs/>
          <w:sz w:val="32"/>
          <w:szCs w:val="32"/>
        </w:rPr>
        <w:t xml:space="preserve"> </w:t>
      </w:r>
      <w:r>
        <w:rPr>
          <w:rFonts w:hint="eastAsia" w:ascii="仿宋_GB2312" w:hAnsi="仿宋" w:eastAsia="仿宋_GB2312" w:cs="仿宋_GB2312"/>
          <w:sz w:val="32"/>
          <w:szCs w:val="32"/>
        </w:rPr>
        <w:t>信息核查人员，原则上为行政事项业务承办人员，核查权限与业务审批权限同等，需要两名以上核查人员的，结合工作实际确定核查人员。</w:t>
      </w:r>
    </w:p>
    <w:p>
      <w:pPr>
        <w:widowControl w:val="0"/>
        <w:spacing w:after="0" w:line="600" w:lineRule="exact"/>
        <w:ind w:firstLine="643" w:firstLineChars="200"/>
        <w:jc w:val="both"/>
        <w:rPr>
          <w:rFonts w:ascii="仿宋_GB2312" w:hAnsi="宋体" w:eastAsia="仿宋_GB2312" w:cs="Times New Roman"/>
          <w:color w:val="000000"/>
          <w:sz w:val="32"/>
          <w:szCs w:val="32"/>
        </w:rPr>
      </w:pPr>
      <w:r>
        <w:rPr>
          <w:rFonts w:hint="eastAsia" w:ascii="仿宋_GB2312" w:hAnsi="仿宋" w:eastAsia="仿宋_GB2312" w:cs="仿宋_GB2312"/>
          <w:b/>
          <w:bCs/>
          <w:sz w:val="32"/>
          <w:szCs w:val="32"/>
        </w:rPr>
        <w:t>第六条</w:t>
      </w:r>
      <w:r>
        <w:rPr>
          <w:rFonts w:ascii="仿宋_GB2312" w:hAnsi="仿宋" w:eastAsia="仿宋_GB2312" w:cs="仿宋_GB2312"/>
          <w:b/>
          <w:bCs/>
          <w:sz w:val="32"/>
          <w:szCs w:val="32"/>
        </w:rPr>
        <w:t xml:space="preserve"> </w:t>
      </w:r>
      <w:r>
        <w:rPr>
          <w:rFonts w:hint="eastAsia" w:ascii="仿宋_GB2312" w:hAnsi="仿宋" w:eastAsia="仿宋_GB2312" w:cs="仿宋_GB2312"/>
          <w:sz w:val="32"/>
          <w:szCs w:val="32"/>
        </w:rPr>
        <w:t>信息核查程序，原则上</w:t>
      </w:r>
      <w:r>
        <w:rPr>
          <w:rFonts w:hint="eastAsia" w:ascii="仿宋_GB2312" w:hAnsi="宋体" w:eastAsia="仿宋_GB2312" w:cs="仿宋_GB2312"/>
          <w:color w:val="000000"/>
          <w:sz w:val="32"/>
          <w:szCs w:val="32"/>
        </w:rPr>
        <w:t>与</w:t>
      </w:r>
      <w:r>
        <w:rPr>
          <w:rFonts w:hint="eastAsia" w:ascii="仿宋_GB2312" w:hAnsi="仿宋" w:eastAsia="仿宋_GB2312" w:cs="仿宋_GB2312"/>
          <w:sz w:val="32"/>
          <w:szCs w:val="32"/>
        </w:rPr>
        <w:t>行政事项</w:t>
      </w:r>
      <w:r>
        <w:rPr>
          <w:rFonts w:hint="eastAsia" w:ascii="仿宋_GB2312" w:hAnsi="宋体" w:eastAsia="仿宋_GB2312" w:cs="仿宋_GB2312"/>
          <w:color w:val="000000"/>
          <w:sz w:val="32"/>
          <w:szCs w:val="32"/>
        </w:rPr>
        <w:t>业务办理程序同步，核查程序如下：</w:t>
      </w:r>
    </w:p>
    <w:p>
      <w:pPr>
        <w:widowControl w:val="0"/>
        <w:spacing w:after="0" w:line="600" w:lineRule="exact"/>
        <w:ind w:firstLine="640" w:firstLineChars="200"/>
        <w:jc w:val="both"/>
        <w:rPr>
          <w:rFonts w:ascii="仿宋_GB2312" w:hAnsi="宋体" w:eastAsia="仿宋_GB2312" w:cs="Times New Roman"/>
          <w:color w:val="000000"/>
          <w:sz w:val="32"/>
          <w:szCs w:val="32"/>
        </w:rPr>
      </w:pPr>
      <w:r>
        <w:rPr>
          <w:rFonts w:ascii="仿宋_GB2312" w:hAnsi="仿宋" w:eastAsia="仿宋_GB2312" w:cs="仿宋_GB2312"/>
          <w:color w:val="000000"/>
          <w:sz w:val="32"/>
          <w:szCs w:val="32"/>
        </w:rPr>
        <w:t>(</w:t>
      </w:r>
      <w:r>
        <w:rPr>
          <w:rFonts w:hint="eastAsia" w:ascii="仿宋_GB2312" w:hAnsi="仿宋" w:eastAsia="仿宋_GB2312" w:cs="仿宋_GB2312"/>
          <w:color w:val="000000"/>
          <w:sz w:val="32"/>
          <w:szCs w:val="32"/>
        </w:rPr>
        <w:t>一）申请人提出行政事项办理申请；</w:t>
      </w:r>
    </w:p>
    <w:p>
      <w:pPr>
        <w:widowControl w:val="0"/>
        <w:spacing w:after="0" w:line="600" w:lineRule="exact"/>
        <w:ind w:firstLine="640" w:firstLineChars="200"/>
        <w:jc w:val="both"/>
        <w:rPr>
          <w:rFonts w:ascii="仿宋_GB2312" w:hAnsi="仿宋" w:eastAsia="仿宋_GB2312" w:cs="Times New Roman"/>
          <w:color w:val="000000"/>
          <w:sz w:val="32"/>
          <w:szCs w:val="32"/>
        </w:rPr>
      </w:pPr>
      <w:r>
        <w:rPr>
          <w:rFonts w:ascii="仿宋_GB2312" w:hAnsi="仿宋" w:eastAsia="仿宋_GB2312" w:cs="仿宋_GB2312"/>
          <w:color w:val="000000"/>
          <w:sz w:val="32"/>
          <w:szCs w:val="32"/>
        </w:rPr>
        <w:t>(</w:t>
      </w:r>
      <w:r>
        <w:rPr>
          <w:rFonts w:hint="eastAsia" w:ascii="仿宋_GB2312" w:hAnsi="仿宋" w:eastAsia="仿宋_GB2312" w:cs="仿宋_GB2312"/>
          <w:color w:val="000000"/>
          <w:sz w:val="32"/>
          <w:szCs w:val="32"/>
        </w:rPr>
        <w:t>二）工作人员出具行政机关告知书；</w:t>
      </w:r>
    </w:p>
    <w:p>
      <w:pPr>
        <w:widowControl w:val="0"/>
        <w:spacing w:after="0" w:line="600" w:lineRule="exact"/>
        <w:ind w:firstLine="640" w:firstLineChars="200"/>
        <w:jc w:val="both"/>
        <w:rPr>
          <w:rFonts w:ascii="仿宋_GB2312" w:hAnsi="仿宋" w:eastAsia="仿宋_GB2312" w:cs="Times New Roman"/>
          <w:color w:val="000000"/>
          <w:sz w:val="32"/>
          <w:szCs w:val="32"/>
        </w:rPr>
      </w:pPr>
      <w:r>
        <w:rPr>
          <w:rFonts w:hint="eastAsia" w:ascii="仿宋_GB2312" w:hAnsi="仿宋" w:eastAsia="仿宋_GB2312" w:cs="仿宋_GB2312"/>
          <w:color w:val="000000"/>
          <w:sz w:val="32"/>
          <w:szCs w:val="32"/>
        </w:rPr>
        <w:t>（三）申请人承诺并提交书面承诺书；</w:t>
      </w:r>
    </w:p>
    <w:p>
      <w:pPr>
        <w:widowControl w:val="0"/>
        <w:spacing w:after="0" w:line="600" w:lineRule="exact"/>
        <w:ind w:firstLine="640" w:firstLineChars="200"/>
        <w:jc w:val="both"/>
        <w:rPr>
          <w:rFonts w:ascii="仿宋_GB2312" w:hAnsi="仿宋" w:eastAsia="仿宋_GB2312" w:cs="Times New Roman"/>
          <w:color w:val="000000"/>
          <w:sz w:val="32"/>
          <w:szCs w:val="32"/>
        </w:rPr>
      </w:pPr>
      <w:r>
        <w:rPr>
          <w:rFonts w:hint="eastAsia" w:ascii="仿宋_GB2312" w:hAnsi="仿宋" w:eastAsia="仿宋_GB2312" w:cs="仿宋_GB2312"/>
          <w:color w:val="000000"/>
          <w:sz w:val="32"/>
          <w:szCs w:val="32"/>
        </w:rPr>
        <w:t>（四）工作人员进行承诺信息核查；</w:t>
      </w:r>
    </w:p>
    <w:p>
      <w:pPr>
        <w:widowControl w:val="0"/>
        <w:spacing w:after="0" w:line="600" w:lineRule="exact"/>
        <w:ind w:firstLine="640" w:firstLineChars="200"/>
        <w:jc w:val="both"/>
        <w:rPr>
          <w:rFonts w:ascii="仿宋_GB2312" w:hAnsi="仿宋" w:eastAsia="仿宋_GB2312" w:cs="Times New Roman"/>
          <w:color w:val="000000"/>
          <w:sz w:val="32"/>
          <w:szCs w:val="32"/>
        </w:rPr>
      </w:pPr>
      <w:r>
        <w:rPr>
          <w:rFonts w:hint="eastAsia" w:ascii="仿宋_GB2312" w:hAnsi="仿宋" w:eastAsia="仿宋_GB2312" w:cs="仿宋_GB2312"/>
          <w:color w:val="000000"/>
          <w:sz w:val="32"/>
          <w:szCs w:val="32"/>
        </w:rPr>
        <w:t>（五）期限内向申请人反馈核查结果并作出处理决定。</w:t>
      </w:r>
    </w:p>
    <w:p>
      <w:pPr>
        <w:widowControl w:val="0"/>
        <w:spacing w:after="0" w:line="600" w:lineRule="exact"/>
        <w:ind w:firstLine="643" w:firstLineChars="200"/>
        <w:jc w:val="both"/>
        <w:rPr>
          <w:rFonts w:ascii="仿宋_GB2312" w:hAnsi="仿宋" w:eastAsia="仿宋_GB2312" w:cs="Times New Roman"/>
          <w:color w:val="000000"/>
          <w:sz w:val="32"/>
          <w:szCs w:val="32"/>
        </w:rPr>
      </w:pPr>
      <w:r>
        <w:rPr>
          <w:rFonts w:hint="eastAsia" w:ascii="仿宋_GB2312" w:hAnsi="仿宋" w:eastAsia="仿宋_GB2312" w:cs="仿宋_GB2312"/>
          <w:b/>
          <w:bCs/>
          <w:color w:val="000000"/>
          <w:sz w:val="32"/>
          <w:szCs w:val="32"/>
        </w:rPr>
        <w:t>第七条</w:t>
      </w:r>
      <w:r>
        <w:rPr>
          <w:rFonts w:ascii="仿宋_GB2312" w:hAnsi="仿宋" w:eastAsia="仿宋_GB2312" w:cs="仿宋_GB2312"/>
          <w:b/>
          <w:bCs/>
          <w:color w:val="000000"/>
          <w:sz w:val="32"/>
          <w:szCs w:val="32"/>
        </w:rPr>
        <w:t xml:space="preserve"> </w:t>
      </w:r>
      <w:r>
        <w:rPr>
          <w:rFonts w:hint="eastAsia" w:ascii="仿宋_GB2312" w:hAnsi="仿宋" w:eastAsia="仿宋_GB2312" w:cs="仿宋_GB2312"/>
          <w:sz w:val="32"/>
          <w:szCs w:val="32"/>
        </w:rPr>
        <w:t>信息</w:t>
      </w:r>
      <w:r>
        <w:rPr>
          <w:rFonts w:hint="eastAsia" w:ascii="仿宋_GB2312" w:hAnsi="仿宋" w:eastAsia="仿宋_GB2312" w:cs="仿宋_GB2312"/>
          <w:color w:val="000000"/>
          <w:sz w:val="32"/>
          <w:szCs w:val="32"/>
        </w:rPr>
        <w:t>核查工作标准</w:t>
      </w:r>
    </w:p>
    <w:p>
      <w:pPr>
        <w:widowControl w:val="0"/>
        <w:spacing w:after="0" w:line="600" w:lineRule="exact"/>
        <w:ind w:firstLine="640" w:firstLineChars="200"/>
        <w:jc w:val="both"/>
        <w:rPr>
          <w:rFonts w:ascii="仿宋_GB2312" w:hAnsi="仿宋" w:eastAsia="仿宋_GB2312" w:cs="Times New Roman"/>
          <w:sz w:val="32"/>
          <w:szCs w:val="32"/>
        </w:rPr>
      </w:pPr>
      <w:r>
        <w:rPr>
          <w:rFonts w:hint="eastAsia" w:ascii="仿宋_GB2312" w:hAnsi="仿宋" w:eastAsia="仿宋_GB2312" w:cs="仿宋_GB2312"/>
          <w:color w:val="000000"/>
          <w:sz w:val="32"/>
          <w:szCs w:val="32"/>
        </w:rPr>
        <w:t>（一）建立</w:t>
      </w:r>
      <w:r>
        <w:rPr>
          <w:rFonts w:hint="eastAsia" w:ascii="仿宋_GB2312" w:hAnsi="仿宋" w:eastAsia="仿宋_GB2312" w:cs="仿宋_GB2312"/>
          <w:sz w:val="32"/>
          <w:szCs w:val="32"/>
        </w:rPr>
        <w:t>核查台账</w:t>
      </w:r>
      <w:r>
        <w:rPr>
          <w:rFonts w:ascii="仿宋_GB2312" w:hAnsi="仿宋" w:eastAsia="仿宋_GB2312" w:cs="仿宋_GB2312"/>
          <w:sz w:val="32"/>
          <w:szCs w:val="32"/>
        </w:rPr>
        <w:t xml:space="preserve">, </w:t>
      </w:r>
      <w:r>
        <w:rPr>
          <w:rFonts w:hint="eastAsia" w:ascii="仿宋_GB2312" w:hAnsi="仿宋" w:eastAsia="仿宋_GB2312" w:cs="仿宋_GB2312"/>
          <w:sz w:val="32"/>
          <w:szCs w:val="32"/>
        </w:rPr>
        <w:t>包括</w:t>
      </w:r>
      <w:r>
        <w:rPr>
          <w:rFonts w:hint="eastAsia" w:ascii="仿宋_GB2312" w:hAnsi="仿宋" w:eastAsia="仿宋_GB2312" w:cs="仿宋_GB2312"/>
          <w:color w:val="000000"/>
          <w:sz w:val="32"/>
          <w:szCs w:val="32"/>
        </w:rPr>
        <w:t>记录</w:t>
      </w:r>
      <w:r>
        <w:rPr>
          <w:rFonts w:hint="eastAsia" w:ascii="仿宋_GB2312" w:hAnsi="仿宋" w:eastAsia="仿宋_GB2312" w:cs="仿宋_GB2312"/>
          <w:sz w:val="32"/>
          <w:szCs w:val="32"/>
        </w:rPr>
        <w:t>核查方式、核查时间、核查人员、核查结果信息等。</w:t>
      </w:r>
    </w:p>
    <w:p>
      <w:pPr>
        <w:spacing w:after="0" w:line="600" w:lineRule="exact"/>
        <w:ind w:firstLine="640" w:firstLineChars="200"/>
        <w:rPr>
          <w:rFonts w:ascii="仿宋_GB2312" w:hAnsi="仿宋" w:eastAsia="仿宋_GB2312" w:cs="Times New Roman"/>
          <w:sz w:val="32"/>
          <w:szCs w:val="32"/>
        </w:rPr>
      </w:pPr>
      <w:r>
        <w:rPr>
          <w:rFonts w:hint="eastAsia" w:ascii="仿宋_GB2312" w:hAnsi="仿宋" w:eastAsia="仿宋_GB2312" w:cs="仿宋_GB2312"/>
          <w:sz w:val="32"/>
          <w:szCs w:val="32"/>
        </w:rPr>
        <w:t>（二）保存核查档案，包括查询共享记录、数据打印件、协助核查资料、现场核查意见、证明核查结果真实有效的书面资料等，应存入审批事项档案内。</w:t>
      </w:r>
    </w:p>
    <w:p>
      <w:pPr>
        <w:spacing w:after="0" w:line="600" w:lineRule="exact"/>
        <w:ind w:firstLine="640" w:firstLineChars="200"/>
        <w:rPr>
          <w:rFonts w:ascii="仿宋_GB2312" w:hAnsi="仿宋" w:eastAsia="仿宋_GB2312" w:cs="Times New Roman"/>
          <w:color w:val="000000"/>
          <w:sz w:val="32"/>
          <w:szCs w:val="32"/>
        </w:rPr>
      </w:pPr>
      <w:r>
        <w:rPr>
          <w:rFonts w:hint="eastAsia" w:ascii="仿宋_GB2312" w:hAnsi="仿宋" w:eastAsia="仿宋_GB2312" w:cs="仿宋_GB2312"/>
          <w:sz w:val="32"/>
          <w:szCs w:val="32"/>
        </w:rPr>
        <w:t>（三）规范文书使用，通过内部配合或其他机关协助核查以及现场核查的，应规范使用核查文书。</w:t>
      </w:r>
    </w:p>
    <w:p>
      <w:pPr>
        <w:spacing w:after="0" w:line="600" w:lineRule="exact"/>
        <w:ind w:firstLine="640" w:firstLineChars="200"/>
        <w:rPr>
          <w:rFonts w:ascii="仿宋_GB2312" w:hAnsi="仿宋" w:eastAsia="仿宋_GB2312" w:cs="Times New Roman"/>
          <w:color w:val="000000"/>
          <w:sz w:val="32"/>
          <w:szCs w:val="32"/>
        </w:rPr>
      </w:pPr>
      <w:r>
        <w:rPr>
          <w:rFonts w:hint="eastAsia" w:ascii="仿宋_GB2312" w:hAnsi="仿宋" w:eastAsia="仿宋_GB2312" w:cs="仿宋_GB2312"/>
          <w:color w:val="000000"/>
          <w:sz w:val="32"/>
          <w:szCs w:val="32"/>
        </w:rPr>
        <w:t>（四）完善工作流程，申请人承诺后选择退出以及确实无法核查的，应及时终止核查并告知申请人。</w:t>
      </w:r>
    </w:p>
    <w:p>
      <w:pPr>
        <w:spacing w:after="0" w:line="600" w:lineRule="exact"/>
        <w:ind w:firstLine="643" w:firstLineChars="200"/>
        <w:rPr>
          <w:rFonts w:ascii="仿宋_GB2312" w:hAnsi="仿宋" w:eastAsia="仿宋_GB2312" w:cs="Times New Roman"/>
          <w:color w:val="000000"/>
          <w:sz w:val="32"/>
          <w:szCs w:val="32"/>
        </w:rPr>
      </w:pPr>
      <w:r>
        <w:rPr>
          <w:rFonts w:hint="eastAsia" w:ascii="仿宋_GB2312" w:hAnsi="仿宋" w:eastAsia="仿宋_GB2312" w:cs="仿宋_GB2312"/>
          <w:b/>
          <w:bCs/>
          <w:color w:val="000000"/>
          <w:sz w:val="32"/>
          <w:szCs w:val="32"/>
        </w:rPr>
        <w:t>第八条</w:t>
      </w:r>
      <w:r>
        <w:rPr>
          <w:rFonts w:ascii="仿宋_GB2312" w:hAnsi="仿宋" w:eastAsia="仿宋_GB2312" w:cs="仿宋_GB2312"/>
          <w:b/>
          <w:bCs/>
          <w:color w:val="000000"/>
          <w:sz w:val="32"/>
          <w:szCs w:val="32"/>
        </w:rPr>
        <w:t xml:space="preserve"> </w:t>
      </w:r>
      <w:r>
        <w:rPr>
          <w:rFonts w:hint="eastAsia" w:ascii="仿宋_GB2312" w:hAnsi="仿宋" w:eastAsia="仿宋_GB2312" w:cs="仿宋_GB2312"/>
          <w:color w:val="000000"/>
          <w:sz w:val="32"/>
          <w:szCs w:val="32"/>
        </w:rPr>
        <w:t>业务承办科室应当遵循“合法、合理、便捷、高效”的原则，确定信息核查方式、核查期限、工作流程，明确业务承办人员和核查工作人员职责权限。</w:t>
      </w:r>
    </w:p>
    <w:p>
      <w:pPr>
        <w:spacing w:after="0" w:line="600" w:lineRule="exact"/>
        <w:ind w:firstLine="643" w:firstLineChars="200"/>
        <w:rPr>
          <w:rFonts w:ascii="仿宋_GB2312" w:hAnsi="仿宋" w:eastAsia="仿宋_GB2312" w:cs="Times New Roman"/>
          <w:color w:val="000000"/>
          <w:sz w:val="32"/>
          <w:szCs w:val="32"/>
        </w:rPr>
      </w:pPr>
      <w:r>
        <w:rPr>
          <w:rFonts w:hint="eastAsia" w:ascii="仿宋_GB2312" w:hAnsi="仿宋" w:eastAsia="仿宋_GB2312" w:cs="仿宋_GB2312"/>
          <w:b/>
          <w:bCs/>
          <w:color w:val="000000"/>
          <w:sz w:val="32"/>
          <w:szCs w:val="32"/>
        </w:rPr>
        <w:t>第九条</w:t>
      </w:r>
      <w:r>
        <w:rPr>
          <w:rFonts w:ascii="仿宋_GB2312" w:hAnsi="仿宋" w:eastAsia="仿宋_GB2312" w:cs="仿宋_GB2312"/>
          <w:b/>
          <w:bCs/>
          <w:color w:val="000000"/>
          <w:sz w:val="32"/>
          <w:szCs w:val="32"/>
        </w:rPr>
        <w:t xml:space="preserve"> </w:t>
      </w:r>
      <w:r>
        <w:rPr>
          <w:rFonts w:hint="eastAsia" w:ascii="仿宋_GB2312" w:hAnsi="仿宋" w:eastAsia="仿宋_GB2312" w:cs="仿宋_GB2312"/>
          <w:color w:val="000000"/>
          <w:sz w:val="32"/>
          <w:szCs w:val="32"/>
        </w:rPr>
        <w:t>本制度自印发之日起施行。</w:t>
      </w:r>
    </w:p>
    <w:p>
      <w:pPr>
        <w:widowControl w:val="0"/>
        <w:topLinePunct/>
        <w:spacing w:after="0" w:line="600" w:lineRule="exact"/>
        <w:jc w:val="center"/>
        <w:rPr>
          <w:rFonts w:ascii="仿宋_GB2312" w:hAnsi="仿宋_GB2312" w:eastAsia="仿宋_GB2312" w:cs="Times New Roman"/>
          <w:sz w:val="32"/>
          <w:szCs w:val="32"/>
        </w:rPr>
      </w:pPr>
    </w:p>
    <w:p>
      <w:pPr>
        <w:widowControl w:val="0"/>
        <w:topLinePunct/>
        <w:spacing w:after="0" w:line="600" w:lineRule="exact"/>
        <w:jc w:val="center"/>
        <w:rPr>
          <w:rFonts w:ascii="仿宋_GB2312" w:hAnsi="仿宋_GB2312" w:eastAsia="仿宋_GB2312" w:cs="Times New Roman"/>
          <w:sz w:val="32"/>
          <w:szCs w:val="32"/>
        </w:rPr>
      </w:pPr>
      <w:r>
        <w:rPr>
          <w:rFonts w:hint="eastAsia" w:ascii="仿宋_GB2312" w:hAnsi="仿宋_GB2312" w:eastAsia="仿宋_GB2312" w:cs="仿宋_GB2312"/>
          <w:sz w:val="32"/>
          <w:szCs w:val="32"/>
        </w:rPr>
        <w:t>附件：</w:t>
      </w:r>
      <w:r>
        <w:rPr>
          <w:rFonts w:ascii="仿宋_GB2312" w:hAnsi="仿宋_GB2312" w:eastAsia="仿宋_GB2312" w:cs="仿宋_GB2312"/>
          <w:sz w:val="32"/>
          <w:szCs w:val="32"/>
        </w:rPr>
        <w:t>1</w:t>
      </w:r>
      <w:r>
        <w:rPr>
          <w:rFonts w:hint="eastAsia" w:ascii="仿宋_GB2312" w:hAnsi="仿宋_GB2312" w:eastAsia="仿宋_GB2312" w:cs="仿宋_GB2312"/>
          <w:sz w:val="32"/>
          <w:szCs w:val="32"/>
        </w:rPr>
        <w:t>、滕州市行政审批服务局信息核查行政协助函</w:t>
      </w:r>
    </w:p>
    <w:p>
      <w:pPr>
        <w:widowControl w:val="0"/>
        <w:topLinePunct/>
        <w:spacing w:after="0" w:line="600" w:lineRule="exact"/>
        <w:jc w:val="center"/>
        <w:rPr>
          <w:rFonts w:ascii="仿宋_GB2312" w:hAnsi="仿宋_GB2312" w:eastAsia="仿宋_GB2312" w:cs="Times New Roman"/>
          <w:sz w:val="32"/>
          <w:szCs w:val="32"/>
        </w:rPr>
      </w:pPr>
      <w:r>
        <w:rPr>
          <w:rFonts w:ascii="仿宋_GB2312" w:hAnsi="仿宋_GB2312" w:eastAsia="仿宋_GB2312" w:cs="仿宋_GB2312"/>
          <w:sz w:val="32"/>
          <w:szCs w:val="32"/>
        </w:rPr>
        <w:t xml:space="preserve">        2</w:t>
      </w:r>
      <w:r>
        <w:rPr>
          <w:rFonts w:hint="eastAsia" w:ascii="仿宋_GB2312" w:hAnsi="仿宋_GB2312" w:eastAsia="仿宋_GB2312" w:cs="仿宋_GB2312"/>
          <w:sz w:val="32"/>
          <w:szCs w:val="32"/>
        </w:rPr>
        <w:t>、滕州市行政审批服务局信息核查行政协助复函</w:t>
      </w:r>
    </w:p>
    <w:p>
      <w:pPr>
        <w:spacing w:after="0" w:line="600" w:lineRule="exact"/>
        <w:jc w:val="both"/>
        <w:rPr>
          <w:rFonts w:ascii="仿宋_GB2312" w:hAnsi="宋体" w:eastAsia="仿宋_GB2312" w:cs="Times New Roman"/>
          <w:sz w:val="32"/>
          <w:szCs w:val="32"/>
        </w:rPr>
      </w:pPr>
    </w:p>
    <w:p>
      <w:pPr>
        <w:spacing w:after="0" w:line="600" w:lineRule="exact"/>
        <w:rPr>
          <w:rFonts w:ascii="仿宋_GB2312" w:hAnsi="宋体" w:eastAsia="仿宋_GB2312" w:cs="Times New Roman"/>
          <w:sz w:val="32"/>
          <w:szCs w:val="32"/>
        </w:rPr>
      </w:pPr>
    </w:p>
    <w:p>
      <w:pPr>
        <w:spacing w:after="0" w:line="600" w:lineRule="exact"/>
        <w:jc w:val="both"/>
        <w:rPr>
          <w:rFonts w:ascii="仿宋_GB2312" w:hAnsi="仿宋" w:eastAsia="仿宋_GB2312" w:cs="Times New Roman"/>
          <w:sz w:val="32"/>
          <w:szCs w:val="32"/>
        </w:rPr>
      </w:pPr>
    </w:p>
    <w:p>
      <w:pPr>
        <w:pStyle w:val="2"/>
      </w:pPr>
    </w:p>
    <w:p>
      <w:pPr>
        <w:pStyle w:val="2"/>
      </w:pPr>
    </w:p>
    <w:p>
      <w:pPr>
        <w:pStyle w:val="2"/>
      </w:pPr>
    </w:p>
    <w:p>
      <w:pPr>
        <w:pStyle w:val="2"/>
      </w:pPr>
    </w:p>
    <w:p>
      <w:pPr>
        <w:spacing w:line="600" w:lineRule="exact"/>
        <w:rPr>
          <w:rFonts w:ascii="黑体" w:hAnsi="黑体" w:eastAsia="黑体" w:cs="Times New Roman"/>
          <w:sz w:val="32"/>
          <w:szCs w:val="32"/>
        </w:rPr>
      </w:pPr>
      <w:r>
        <w:rPr>
          <w:rFonts w:hint="eastAsia" w:ascii="黑体" w:hAnsi="黑体" w:eastAsia="黑体" w:cs="黑体"/>
          <w:sz w:val="32"/>
          <w:szCs w:val="32"/>
        </w:rPr>
        <w:t>附件</w:t>
      </w:r>
      <w:r>
        <w:rPr>
          <w:rFonts w:ascii="黑体" w:hAnsi="黑体" w:eastAsia="黑体" w:cs="黑体"/>
          <w:sz w:val="32"/>
          <w:szCs w:val="32"/>
        </w:rPr>
        <w:t>1</w:t>
      </w:r>
      <w:r>
        <w:rPr>
          <w:rFonts w:hint="eastAsia" w:ascii="黑体" w:hAnsi="黑体" w:eastAsia="黑体" w:cs="黑体"/>
          <w:sz w:val="32"/>
          <w:szCs w:val="32"/>
        </w:rPr>
        <w:t>：</w:t>
      </w:r>
    </w:p>
    <w:p>
      <w:pPr>
        <w:topLinePunct/>
        <w:spacing w:after="0" w:line="600" w:lineRule="exact"/>
        <w:jc w:val="center"/>
        <w:rPr>
          <w:rFonts w:ascii="方正小标宋简体" w:hAnsi="方正小标宋简体" w:eastAsia="方正小标宋简体" w:cs="Times New Roman"/>
          <w:sz w:val="44"/>
          <w:szCs w:val="44"/>
        </w:rPr>
      </w:pPr>
      <w:r>
        <w:rPr>
          <w:rFonts w:hint="eastAsia" w:ascii="方正小标宋简体" w:hAnsi="方正小标宋简体" w:eastAsia="方正小标宋简体" w:cs="方正小标宋简体"/>
          <w:sz w:val="44"/>
          <w:szCs w:val="44"/>
        </w:rPr>
        <w:t>滕州市行政审批服务局</w:t>
      </w:r>
    </w:p>
    <w:p>
      <w:pPr>
        <w:topLinePunct/>
        <w:spacing w:after="0" w:line="600" w:lineRule="exact"/>
        <w:jc w:val="center"/>
        <w:rPr>
          <w:rFonts w:ascii="方正小标宋简体" w:hAnsi="方正小标宋简体" w:eastAsia="方正小标宋简体" w:cs="Times New Roman"/>
          <w:sz w:val="44"/>
          <w:szCs w:val="44"/>
        </w:rPr>
      </w:pPr>
      <w:r>
        <w:rPr>
          <w:rFonts w:hint="eastAsia" w:ascii="方正小标宋简体" w:hAnsi="方正小标宋简体" w:eastAsia="方正小标宋简体" w:cs="方正小标宋简体"/>
          <w:sz w:val="44"/>
          <w:szCs w:val="44"/>
        </w:rPr>
        <w:t>信息核查行政协助函</w:t>
      </w:r>
    </w:p>
    <w:p>
      <w:pPr>
        <w:topLinePunct/>
        <w:spacing w:after="0" w:line="600" w:lineRule="exact"/>
        <w:ind w:firstLine="2240" w:firstLineChars="700"/>
        <w:rPr>
          <w:rFonts w:ascii="仿宋_GB2312" w:hAnsi="仿宋_GB2312" w:eastAsia="仿宋_GB2312" w:cs="Times New Roman"/>
          <w:sz w:val="32"/>
          <w:szCs w:val="32"/>
        </w:rPr>
      </w:pPr>
      <w:r>
        <w:rPr>
          <w:rFonts w:hint="eastAsia" w:ascii="仿宋_GB2312" w:hAnsi="仿宋_GB2312" w:eastAsia="仿宋_GB2312" w:cs="仿宋_GB2312"/>
          <w:sz w:val="32"/>
          <w:szCs w:val="32"/>
        </w:rPr>
        <w:t>滕行审协函字（</w:t>
      </w:r>
      <w:r>
        <w:rPr>
          <w:rFonts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w:t>
      </w:r>
      <w:r>
        <w:rPr>
          <w:rFonts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号</w:t>
      </w:r>
    </w:p>
    <w:p>
      <w:pPr>
        <w:topLinePunct/>
        <w:spacing w:after="0" w:line="600" w:lineRule="exact"/>
        <w:rPr>
          <w:rFonts w:ascii="仿宋_GB2312" w:hAnsi="仿宋_GB2312" w:eastAsia="仿宋_GB2312" w:cs="Times New Roman"/>
          <w:sz w:val="32"/>
          <w:szCs w:val="32"/>
        </w:rPr>
      </w:pPr>
      <w:r>
        <w:rPr>
          <w:rFonts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w:t>
      </w:r>
    </w:p>
    <w:p>
      <w:pPr>
        <w:topLinePunct/>
        <w:spacing w:after="0" w:line="600" w:lineRule="exact"/>
        <w:ind w:firstLine="640" w:firstLineChars="200"/>
        <w:rPr>
          <w:rFonts w:ascii="仿宋_GB2312" w:hAnsi="仿宋_GB2312" w:eastAsia="仿宋_GB2312" w:cs="Times New Roman"/>
          <w:sz w:val="32"/>
          <w:szCs w:val="32"/>
        </w:rPr>
      </w:pPr>
      <w:r>
        <w:rPr>
          <w:rFonts w:hint="eastAsia" w:ascii="仿宋_GB2312" w:hAnsi="仿宋_GB2312" w:eastAsia="仿宋_GB2312" w:cs="仿宋_GB2312"/>
          <w:sz w:val="32"/>
          <w:szCs w:val="32"/>
        </w:rPr>
        <w:t>我单位在办理</w:t>
      </w:r>
      <w:r>
        <w:rPr>
          <w:rFonts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申请办理的</w:t>
      </w:r>
      <w:r>
        <w:rPr>
          <w:rFonts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事项过程中，按照证明事项告知承诺制工作要求进行了承诺制办理。为检验申请人承诺信息的真实性，特请你单位协助核查以下承诺信息是否真实：</w:t>
      </w:r>
    </w:p>
    <w:p>
      <w:pPr>
        <w:wordWrap w:val="0"/>
        <w:topLinePunct/>
        <w:spacing w:line="600" w:lineRule="exact"/>
        <w:ind w:firstLine="640" w:firstLineChars="200"/>
        <w:rPr>
          <w:rFonts w:ascii="仿宋_GB2312" w:hAnsi="仿宋_GB2312" w:eastAsia="仿宋_GB2312" w:cs="Times New Roman"/>
          <w:sz w:val="32"/>
          <w:szCs w:val="32"/>
        </w:rPr>
      </w:pPr>
      <w:r>
        <w:rPr>
          <w:rFonts w:ascii="仿宋_GB2312" w:hAnsi="仿宋_GB2312" w:eastAsia="仿宋_GB2312" w:cs="仿宋_GB2312"/>
          <w:sz w:val="32"/>
          <w:szCs w:val="32"/>
        </w:rPr>
        <w:t>1.</w:t>
      </w:r>
      <w:r>
        <w:rPr>
          <w:rFonts w:ascii="仿宋_GB2312" w:hAnsi="仿宋_GB2312" w:eastAsia="仿宋_GB2312" w:cs="仿宋_GB2312"/>
          <w:sz w:val="32"/>
          <w:szCs w:val="32"/>
          <w:u w:val="single"/>
        </w:rPr>
        <w:t xml:space="preserve">                       </w:t>
      </w:r>
    </w:p>
    <w:p>
      <w:pPr>
        <w:wordWrap w:val="0"/>
        <w:topLinePunct/>
        <w:spacing w:line="600" w:lineRule="exact"/>
        <w:ind w:firstLine="640" w:firstLineChars="200"/>
        <w:rPr>
          <w:rFonts w:ascii="仿宋_GB2312" w:hAnsi="仿宋_GB2312" w:eastAsia="仿宋_GB2312" w:cs="Times New Roman"/>
          <w:sz w:val="32"/>
          <w:szCs w:val="32"/>
        </w:rPr>
      </w:pPr>
      <w:r>
        <w:rPr>
          <w:rFonts w:ascii="仿宋_GB2312" w:hAnsi="仿宋_GB2312" w:eastAsia="仿宋_GB2312" w:cs="仿宋_GB2312"/>
          <w:sz w:val="32"/>
          <w:szCs w:val="32"/>
        </w:rPr>
        <w:t>2.</w:t>
      </w:r>
      <w:r>
        <w:rPr>
          <w:rFonts w:ascii="仿宋_GB2312" w:hAnsi="仿宋_GB2312" w:eastAsia="仿宋_GB2312" w:cs="仿宋_GB2312"/>
          <w:sz w:val="32"/>
          <w:szCs w:val="32"/>
          <w:u w:val="single"/>
        </w:rPr>
        <w:t xml:space="preserve">                       </w:t>
      </w:r>
    </w:p>
    <w:p>
      <w:pPr>
        <w:wordWrap w:val="0"/>
        <w:topLinePunct/>
        <w:spacing w:line="600" w:lineRule="exact"/>
        <w:ind w:firstLine="640" w:firstLineChars="200"/>
        <w:rPr>
          <w:rFonts w:ascii="仿宋_GB2312" w:hAnsi="仿宋_GB2312" w:eastAsia="仿宋_GB2312" w:cs="Times New Roman"/>
          <w:sz w:val="32"/>
          <w:szCs w:val="32"/>
        </w:rPr>
      </w:pPr>
      <w:r>
        <w:rPr>
          <w:rFonts w:ascii="仿宋_GB2312" w:hAnsi="仿宋_GB2312" w:eastAsia="仿宋_GB2312" w:cs="仿宋_GB2312"/>
          <w:sz w:val="32"/>
          <w:szCs w:val="32"/>
        </w:rPr>
        <w:t>3.</w:t>
      </w:r>
      <w:r>
        <w:rPr>
          <w:rFonts w:ascii="仿宋_GB2312" w:hAnsi="仿宋_GB2312" w:eastAsia="仿宋_GB2312" w:cs="仿宋_GB2312"/>
          <w:sz w:val="32"/>
          <w:szCs w:val="32"/>
          <w:u w:val="single"/>
        </w:rPr>
        <w:t xml:space="preserve">                       </w:t>
      </w:r>
    </w:p>
    <w:p>
      <w:pPr>
        <w:wordWrap w:val="0"/>
        <w:topLinePunct/>
        <w:spacing w:line="600" w:lineRule="exact"/>
        <w:ind w:firstLine="640" w:firstLineChars="200"/>
        <w:rPr>
          <w:rFonts w:ascii="仿宋_GB2312" w:hAnsi="仿宋_GB2312" w:eastAsia="仿宋_GB2312" w:cs="Times New Roman"/>
          <w:sz w:val="32"/>
          <w:szCs w:val="32"/>
        </w:rPr>
      </w:pPr>
      <w:r>
        <w:rPr>
          <w:rFonts w:hint="eastAsia" w:ascii="仿宋_GB2312" w:hAnsi="仿宋_GB2312" w:eastAsia="仿宋_GB2312" w:cs="仿宋_GB2312"/>
          <w:sz w:val="32"/>
          <w:szCs w:val="32"/>
        </w:rPr>
        <w:t>请将核查结果及相关证据材料加盖单位公章后，于</w:t>
      </w:r>
      <w:r>
        <w:rPr>
          <w:rFonts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日内（</w:t>
      </w:r>
      <w:r>
        <w:rPr>
          <w:rFonts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年</w:t>
      </w:r>
      <w:r>
        <w:rPr>
          <w:rFonts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月</w:t>
      </w:r>
      <w:r>
        <w:rPr>
          <w:rFonts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日前）函告我局。</w:t>
      </w:r>
    </w:p>
    <w:p>
      <w:pPr>
        <w:wordWrap w:val="0"/>
        <w:topLinePunct/>
        <w:spacing w:line="600" w:lineRule="exact"/>
        <w:ind w:firstLine="3520" w:firstLineChars="1100"/>
        <w:jc w:val="right"/>
        <w:rPr>
          <w:rFonts w:ascii="仿宋_GB2312" w:hAnsi="仿宋_GB2312" w:eastAsia="仿宋_GB2312" w:cs="Times New Roman"/>
          <w:sz w:val="32"/>
          <w:szCs w:val="32"/>
        </w:rPr>
      </w:pPr>
    </w:p>
    <w:p>
      <w:pPr>
        <w:wordWrap w:val="0"/>
        <w:topLinePunct/>
        <w:spacing w:line="600" w:lineRule="exact"/>
        <w:ind w:firstLine="3520" w:firstLineChars="1100"/>
        <w:jc w:val="center"/>
        <w:rPr>
          <w:rFonts w:ascii="仿宋_GB2312" w:hAnsi="仿宋_GB2312" w:eastAsia="仿宋_GB2312" w:cs="Times New Roman"/>
          <w:sz w:val="32"/>
          <w:szCs w:val="32"/>
        </w:rPr>
      </w:pPr>
      <w:r>
        <w:rPr>
          <w:rFonts w:hint="eastAsia" w:ascii="仿宋_GB2312" w:hAnsi="仿宋_GB2312" w:eastAsia="仿宋_GB2312" w:cs="仿宋_GB2312"/>
          <w:sz w:val="32"/>
          <w:szCs w:val="32"/>
        </w:rPr>
        <w:t>滕州市行政审批服务局</w:t>
      </w:r>
    </w:p>
    <w:p>
      <w:pPr>
        <w:wordWrap w:val="0"/>
        <w:topLinePunct/>
        <w:spacing w:line="600" w:lineRule="exact"/>
        <w:ind w:firstLine="4800" w:firstLineChars="1500"/>
        <w:rPr>
          <w:rFonts w:ascii="仿宋_GB2312" w:hAnsi="仿宋_GB2312" w:eastAsia="仿宋_GB2312" w:cs="Times New Roman"/>
          <w:sz w:val="32"/>
          <w:szCs w:val="32"/>
        </w:rPr>
      </w:pPr>
      <w:r>
        <w:rPr>
          <w:rFonts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年</w:t>
      </w:r>
      <w:r>
        <w:rPr>
          <w:rFonts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月</w:t>
      </w:r>
      <w:r>
        <w:rPr>
          <w:rFonts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日</w:t>
      </w:r>
    </w:p>
    <w:p>
      <w:pPr>
        <w:wordWrap w:val="0"/>
        <w:topLinePunct/>
        <w:spacing w:line="600" w:lineRule="exact"/>
        <w:ind w:firstLine="640" w:firstLineChars="200"/>
        <w:rPr>
          <w:rFonts w:cs="Times New Roman"/>
          <w:sz w:val="32"/>
          <w:szCs w:val="32"/>
        </w:rPr>
      </w:pPr>
    </w:p>
    <w:p>
      <w:pPr>
        <w:wordWrap w:val="0"/>
        <w:topLinePunct/>
        <w:spacing w:line="600" w:lineRule="exact"/>
        <w:ind w:firstLine="320" w:firstLineChars="100"/>
        <w:rPr>
          <w:rFonts w:ascii="仿宋_GB2312" w:hAnsi="仿宋_GB2312" w:eastAsia="仿宋_GB2312" w:cs="Times New Roman"/>
          <w:sz w:val="32"/>
          <w:szCs w:val="32"/>
        </w:rPr>
      </w:pPr>
      <w:r>
        <w:rPr>
          <w:rFonts w:hint="eastAsia" w:ascii="仿宋_GB2312" w:hAnsi="仿宋_GB2312" w:eastAsia="仿宋_GB2312" w:cs="仿宋_GB2312"/>
          <w:sz w:val="32"/>
          <w:szCs w:val="32"/>
        </w:rPr>
        <w:t>注：一式二份，本机关一份，协助机关或单位一份。</w:t>
      </w:r>
    </w:p>
    <w:p>
      <w:pPr>
        <w:spacing w:line="600" w:lineRule="exact"/>
        <w:rPr>
          <w:rFonts w:ascii="黑体" w:hAnsi="黑体" w:eastAsia="黑体" w:cs="Times New Roman"/>
          <w:sz w:val="32"/>
          <w:szCs w:val="32"/>
        </w:rPr>
      </w:pPr>
      <w:r>
        <w:rPr>
          <w:rFonts w:hint="eastAsia" w:ascii="黑体" w:hAnsi="黑体" w:eastAsia="黑体" w:cs="黑体"/>
          <w:sz w:val="32"/>
          <w:szCs w:val="32"/>
        </w:rPr>
        <w:t>附件</w:t>
      </w:r>
      <w:r>
        <w:rPr>
          <w:rFonts w:ascii="黑体" w:hAnsi="黑体" w:eastAsia="黑体" w:cs="黑体"/>
          <w:sz w:val="32"/>
          <w:szCs w:val="32"/>
        </w:rPr>
        <w:t>2</w:t>
      </w:r>
      <w:r>
        <w:rPr>
          <w:rFonts w:hint="eastAsia" w:ascii="黑体" w:hAnsi="黑体" w:eastAsia="黑体" w:cs="黑体"/>
          <w:sz w:val="32"/>
          <w:szCs w:val="32"/>
        </w:rPr>
        <w:t>：</w:t>
      </w:r>
    </w:p>
    <w:p>
      <w:pPr>
        <w:topLinePunct/>
        <w:spacing w:after="0" w:line="600" w:lineRule="exact"/>
        <w:jc w:val="center"/>
        <w:rPr>
          <w:rFonts w:ascii="方正小标宋简体" w:hAnsi="方正小标宋简体" w:eastAsia="方正小标宋简体" w:cs="Times New Roman"/>
          <w:sz w:val="44"/>
          <w:szCs w:val="44"/>
        </w:rPr>
      </w:pPr>
      <w:r>
        <w:rPr>
          <w:rFonts w:hint="eastAsia" w:ascii="方正小标宋简体" w:hAnsi="方正小标宋简体" w:eastAsia="方正小标宋简体" w:cs="方正小标宋简体"/>
          <w:sz w:val="44"/>
          <w:szCs w:val="44"/>
        </w:rPr>
        <w:t>滕州市行政审批服务局</w:t>
      </w:r>
    </w:p>
    <w:p>
      <w:pPr>
        <w:topLinePunct/>
        <w:spacing w:after="0" w:line="600" w:lineRule="exact"/>
        <w:jc w:val="center"/>
        <w:rPr>
          <w:rFonts w:ascii="方正小标宋简体" w:hAnsi="方正小标宋简体" w:eastAsia="方正小标宋简体" w:cs="Times New Roman"/>
          <w:sz w:val="44"/>
          <w:szCs w:val="44"/>
        </w:rPr>
      </w:pPr>
      <w:r>
        <w:rPr>
          <w:rFonts w:hint="eastAsia" w:ascii="方正小标宋简体" w:hAnsi="方正小标宋简体" w:eastAsia="方正小标宋简体" w:cs="方正小标宋简体"/>
          <w:sz w:val="44"/>
          <w:szCs w:val="44"/>
        </w:rPr>
        <w:t>信息核查行政协助复函</w:t>
      </w:r>
    </w:p>
    <w:p>
      <w:pPr>
        <w:wordWrap w:val="0"/>
        <w:topLinePunct/>
        <w:spacing w:line="600" w:lineRule="exact"/>
        <w:ind w:firstLine="2240" w:firstLineChars="700"/>
        <w:rPr>
          <w:rFonts w:ascii="仿宋_GB2312" w:hAnsi="仿宋_GB2312" w:eastAsia="仿宋_GB2312" w:cs="Times New Roman"/>
          <w:sz w:val="32"/>
          <w:szCs w:val="32"/>
        </w:rPr>
      </w:pPr>
      <w:r>
        <w:rPr>
          <w:rFonts w:hint="eastAsia" w:ascii="仿宋_GB2312" w:hAnsi="仿宋_GB2312" w:eastAsia="仿宋_GB2312" w:cs="仿宋_GB2312"/>
          <w:sz w:val="32"/>
          <w:szCs w:val="32"/>
        </w:rPr>
        <w:t>滕行审协复函字（</w:t>
      </w:r>
      <w:r>
        <w:rPr>
          <w:rFonts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w:t>
      </w:r>
      <w:r>
        <w:rPr>
          <w:rFonts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号</w:t>
      </w:r>
    </w:p>
    <w:p>
      <w:pPr>
        <w:wordWrap w:val="0"/>
        <w:topLinePunct/>
        <w:spacing w:line="600" w:lineRule="exact"/>
        <w:rPr>
          <w:rFonts w:ascii="仿宋_GB2312" w:hAnsi="仿宋_GB2312" w:eastAsia="仿宋_GB2312" w:cs="Times New Roman"/>
          <w:sz w:val="32"/>
          <w:szCs w:val="32"/>
        </w:rPr>
      </w:pPr>
      <w:r>
        <w:rPr>
          <w:rFonts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w:t>
      </w:r>
    </w:p>
    <w:p>
      <w:pPr>
        <w:wordWrap w:val="0"/>
        <w:topLinePunct/>
        <w:spacing w:line="600" w:lineRule="exact"/>
        <w:ind w:firstLine="640" w:firstLineChars="200"/>
        <w:rPr>
          <w:rFonts w:ascii="仿宋_GB2312" w:hAnsi="仿宋_GB2312" w:eastAsia="仿宋_GB2312" w:cs="Times New Roman"/>
          <w:sz w:val="32"/>
          <w:szCs w:val="32"/>
        </w:rPr>
      </w:pPr>
      <w:r>
        <w:rPr>
          <w:rFonts w:hint="eastAsia" w:ascii="仿宋_GB2312" w:hAnsi="仿宋_GB2312" w:eastAsia="仿宋_GB2312" w:cs="仿宋_GB2312"/>
          <w:sz w:val="32"/>
          <w:szCs w:val="32"/>
        </w:rPr>
        <w:t>你单位（滕</w:t>
      </w:r>
      <w:r>
        <w:rPr>
          <w:rFonts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协函字（</w:t>
      </w:r>
      <w:r>
        <w:rPr>
          <w:rFonts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w:t>
      </w:r>
      <w:r>
        <w:rPr>
          <w:rFonts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号）信息核查行政协助函收悉。你单位核查的以下事项：</w:t>
      </w:r>
    </w:p>
    <w:p>
      <w:pPr>
        <w:wordWrap w:val="0"/>
        <w:topLinePunct/>
        <w:spacing w:line="600" w:lineRule="exact"/>
        <w:ind w:firstLine="640" w:firstLineChars="200"/>
        <w:rPr>
          <w:rFonts w:ascii="仿宋_GB2312" w:hAnsi="仿宋_GB2312" w:eastAsia="仿宋_GB2312" w:cs="Times New Roman"/>
          <w:sz w:val="32"/>
          <w:szCs w:val="32"/>
        </w:rPr>
      </w:pPr>
      <w:r>
        <w:rPr>
          <w:rFonts w:ascii="仿宋_GB2312" w:hAnsi="仿宋_GB2312" w:eastAsia="仿宋_GB2312" w:cs="仿宋_GB2312"/>
          <w:sz w:val="32"/>
          <w:szCs w:val="32"/>
        </w:rPr>
        <w:t>1.</w:t>
      </w:r>
      <w:r>
        <w:rPr>
          <w:rFonts w:ascii="仿宋_GB2312" w:hAnsi="仿宋_GB2312" w:eastAsia="仿宋_GB2312" w:cs="仿宋_GB2312"/>
          <w:sz w:val="32"/>
          <w:szCs w:val="32"/>
          <w:u w:val="single"/>
        </w:rPr>
        <w:t xml:space="preserve">                       </w:t>
      </w:r>
    </w:p>
    <w:p>
      <w:pPr>
        <w:wordWrap w:val="0"/>
        <w:topLinePunct/>
        <w:spacing w:line="600" w:lineRule="exact"/>
        <w:ind w:firstLine="640" w:firstLineChars="200"/>
        <w:rPr>
          <w:rFonts w:ascii="仿宋_GB2312" w:hAnsi="仿宋_GB2312" w:eastAsia="仿宋_GB2312" w:cs="Times New Roman"/>
          <w:sz w:val="32"/>
          <w:szCs w:val="32"/>
        </w:rPr>
      </w:pPr>
      <w:r>
        <w:rPr>
          <w:rFonts w:ascii="仿宋_GB2312" w:hAnsi="仿宋_GB2312" w:eastAsia="仿宋_GB2312" w:cs="仿宋_GB2312"/>
          <w:sz w:val="32"/>
          <w:szCs w:val="32"/>
        </w:rPr>
        <w:t>2.</w:t>
      </w:r>
      <w:r>
        <w:rPr>
          <w:rFonts w:ascii="仿宋_GB2312" w:hAnsi="仿宋_GB2312" w:eastAsia="仿宋_GB2312" w:cs="仿宋_GB2312"/>
          <w:sz w:val="32"/>
          <w:szCs w:val="32"/>
          <w:u w:val="single"/>
        </w:rPr>
        <w:t xml:space="preserve">                       </w:t>
      </w:r>
    </w:p>
    <w:p>
      <w:pPr>
        <w:wordWrap w:val="0"/>
        <w:topLinePunct/>
        <w:spacing w:line="600" w:lineRule="exact"/>
        <w:ind w:firstLine="640" w:firstLineChars="200"/>
        <w:rPr>
          <w:rFonts w:ascii="仿宋_GB2312" w:hAnsi="仿宋_GB2312" w:eastAsia="仿宋_GB2312" w:cs="Times New Roman"/>
          <w:sz w:val="32"/>
          <w:szCs w:val="32"/>
        </w:rPr>
      </w:pPr>
      <w:r>
        <w:rPr>
          <w:rFonts w:ascii="仿宋_GB2312" w:hAnsi="仿宋_GB2312" w:eastAsia="仿宋_GB2312" w:cs="仿宋_GB2312"/>
          <w:sz w:val="32"/>
          <w:szCs w:val="32"/>
        </w:rPr>
        <w:t>3.</w:t>
      </w:r>
      <w:r>
        <w:rPr>
          <w:rFonts w:ascii="仿宋_GB2312" w:hAnsi="仿宋_GB2312" w:eastAsia="仿宋_GB2312" w:cs="仿宋_GB2312"/>
          <w:sz w:val="32"/>
          <w:szCs w:val="32"/>
          <w:u w:val="single"/>
        </w:rPr>
        <w:t xml:space="preserve">                       </w:t>
      </w:r>
    </w:p>
    <w:p>
      <w:pPr>
        <w:wordWrap w:val="0"/>
        <w:topLinePunct/>
        <w:spacing w:line="600" w:lineRule="exact"/>
        <w:ind w:firstLine="640" w:firstLineChars="200"/>
        <w:rPr>
          <w:rFonts w:ascii="仿宋_GB2312" w:hAnsi="仿宋_GB2312" w:eastAsia="仿宋_GB2312" w:cs="Times New Roman"/>
          <w:sz w:val="32"/>
          <w:szCs w:val="32"/>
        </w:rPr>
      </w:pPr>
      <w:r>
        <w:rPr>
          <w:rFonts w:hint="eastAsia" w:ascii="仿宋_GB2312" w:hAnsi="仿宋_GB2312" w:eastAsia="仿宋_GB2312" w:cs="仿宋_GB2312"/>
          <w:sz w:val="32"/>
          <w:szCs w:val="32"/>
        </w:rPr>
        <w:t>经我单位认真核查，情况如下：</w:t>
      </w:r>
      <w:r>
        <w:rPr>
          <w:rFonts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w:t>
      </w:r>
    </w:p>
    <w:p>
      <w:pPr>
        <w:wordWrap w:val="0"/>
        <w:topLinePunct/>
        <w:spacing w:beforeLines="50" w:afterLines="50" w:line="600" w:lineRule="exact"/>
        <w:ind w:firstLine="960" w:firstLineChars="300"/>
        <w:rPr>
          <w:rFonts w:ascii="仿宋_GB2312" w:hAnsi="仿宋_GB2312" w:eastAsia="仿宋_GB2312" w:cs="Times New Roman"/>
          <w:sz w:val="32"/>
          <w:szCs w:val="32"/>
        </w:rPr>
      </w:pPr>
      <w:r>
        <w:rPr>
          <w:rFonts w:hint="eastAsia" w:ascii="仿宋_GB2312" w:hAnsi="仿宋_GB2312" w:eastAsia="仿宋_GB2312" w:cs="仿宋_GB2312"/>
          <w:sz w:val="32"/>
          <w:szCs w:val="32"/>
        </w:rPr>
        <w:t>特此函复。</w:t>
      </w:r>
    </w:p>
    <w:p>
      <w:pPr>
        <w:wordWrap w:val="0"/>
        <w:topLinePunct/>
        <w:spacing w:line="600" w:lineRule="exact"/>
        <w:ind w:firstLine="3520" w:firstLineChars="1100"/>
        <w:jc w:val="right"/>
        <w:rPr>
          <w:rFonts w:ascii="仿宋_GB2312" w:hAnsi="仿宋_GB2312" w:eastAsia="仿宋_GB2312" w:cs="Times New Roman"/>
          <w:sz w:val="32"/>
          <w:szCs w:val="32"/>
        </w:rPr>
      </w:pPr>
    </w:p>
    <w:p>
      <w:pPr>
        <w:wordWrap w:val="0"/>
        <w:topLinePunct/>
        <w:spacing w:line="600" w:lineRule="exact"/>
        <w:ind w:firstLine="3520" w:firstLineChars="1100"/>
        <w:jc w:val="right"/>
        <w:rPr>
          <w:rFonts w:ascii="仿宋_GB2312" w:hAnsi="仿宋_GB2312" w:eastAsia="仿宋_GB2312" w:cs="Times New Roman"/>
          <w:sz w:val="32"/>
          <w:szCs w:val="32"/>
        </w:rPr>
      </w:pPr>
      <w:r>
        <w:rPr>
          <w:rFonts w:hint="eastAsia" w:ascii="仿宋_GB2312" w:hAnsi="仿宋_GB2312" w:eastAsia="仿宋_GB2312" w:cs="仿宋_GB2312"/>
          <w:sz w:val="32"/>
          <w:szCs w:val="32"/>
        </w:rPr>
        <w:t>滕州市行政审批服务局</w:t>
      </w:r>
    </w:p>
    <w:p>
      <w:pPr>
        <w:wordWrap w:val="0"/>
        <w:topLinePunct/>
        <w:spacing w:line="600" w:lineRule="exact"/>
        <w:ind w:firstLine="5760" w:firstLineChars="1800"/>
        <w:rPr>
          <w:rFonts w:ascii="仿宋_GB2312" w:hAnsi="仿宋_GB2312" w:eastAsia="仿宋_GB2312" w:cs="Times New Roman"/>
          <w:sz w:val="32"/>
          <w:szCs w:val="32"/>
        </w:rPr>
      </w:pPr>
      <w:r>
        <w:rPr>
          <w:rFonts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年</w:t>
      </w:r>
      <w:r>
        <w:rPr>
          <w:rFonts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月</w:t>
      </w:r>
      <w:r>
        <w:rPr>
          <w:rFonts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日</w:t>
      </w:r>
    </w:p>
    <w:p>
      <w:pPr>
        <w:rPr>
          <w:rFonts w:cs="Times New Roman"/>
        </w:rPr>
      </w:pPr>
    </w:p>
    <w:p>
      <w:pPr>
        <w:topLinePunct/>
        <w:spacing w:line="600" w:lineRule="exact"/>
        <w:ind w:firstLine="320" w:firstLineChars="100"/>
        <w:jc w:val="both"/>
      </w:pPr>
      <w:r>
        <w:rPr>
          <w:rFonts w:hint="eastAsia" w:ascii="仿宋_GB2312" w:hAnsi="仿宋_GB2312" w:eastAsia="仿宋_GB2312" w:cs="仿宋_GB2312"/>
          <w:sz w:val="32"/>
          <w:szCs w:val="32"/>
        </w:rPr>
        <w:t>注：</w:t>
      </w:r>
      <w:r>
        <w:rPr>
          <w:rFonts w:hint="eastAsia" w:ascii="仿宋_GB2312" w:hAnsi="仿宋_GB2312" w:eastAsia="仿宋_GB2312" w:cs="仿宋_GB2312"/>
          <w:spacing w:val="10"/>
          <w:sz w:val="32"/>
          <w:szCs w:val="32"/>
        </w:rPr>
        <w:t>一式二份，本机关留存一份，请求协助机关或单位一份。</w:t>
      </w:r>
    </w:p>
    <w:sectPr>
      <w:footerReference r:id="rId3" w:type="default"/>
      <w:pgSz w:w="11906" w:h="16838"/>
      <w:pgMar w:top="1701" w:right="1701" w:bottom="1701" w:left="1701" w:header="851" w:footer="1304" w:gutter="0"/>
      <w:pgNumType w:fmt="numberInDash"/>
      <w:cols w:space="708" w:num="1"/>
      <w:docGrid w:type="lines"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framePr w:wrap="around" w:vAnchor="text" w:hAnchor="margin" w:xAlign="center" w:y="1"/>
      <w:rPr>
        <w:rStyle w:val="10"/>
        <w:rFonts w:ascii="宋体" w:cs="宋体"/>
        <w:sz w:val="24"/>
        <w:szCs w:val="24"/>
      </w:rPr>
    </w:pPr>
    <w:r>
      <w:rPr>
        <w:rStyle w:val="10"/>
        <w:rFonts w:ascii="宋体" w:hAnsi="宋体" w:cs="宋体"/>
        <w:sz w:val="24"/>
        <w:szCs w:val="24"/>
      </w:rPr>
      <w:fldChar w:fldCharType="begin"/>
    </w:r>
    <w:r>
      <w:rPr>
        <w:rStyle w:val="10"/>
        <w:rFonts w:ascii="宋体" w:hAnsi="宋体" w:cs="宋体"/>
        <w:sz w:val="24"/>
        <w:szCs w:val="24"/>
      </w:rPr>
      <w:instrText xml:space="preserve">PAGE  </w:instrText>
    </w:r>
    <w:r>
      <w:rPr>
        <w:rStyle w:val="10"/>
        <w:rFonts w:ascii="宋体" w:hAnsi="宋体" w:cs="宋体"/>
        <w:sz w:val="24"/>
        <w:szCs w:val="24"/>
      </w:rPr>
      <w:fldChar w:fldCharType="separate"/>
    </w:r>
    <w:r>
      <w:rPr>
        <w:rStyle w:val="10"/>
        <w:rFonts w:ascii="宋体" w:hAnsi="宋体" w:cs="宋体"/>
        <w:sz w:val="24"/>
        <w:szCs w:val="24"/>
      </w:rPr>
      <w:t>- 7 -</w:t>
    </w:r>
    <w:r>
      <w:rPr>
        <w:rStyle w:val="10"/>
        <w:rFonts w:ascii="宋体" w:hAnsi="宋体" w:cs="宋体"/>
        <w:sz w:val="24"/>
        <w:szCs w:val="24"/>
      </w:rPr>
      <w:fldChar w:fldCharType="end"/>
    </w:r>
  </w:p>
  <w:p>
    <w:pPr>
      <w:pStyle w:val="5"/>
      <w:jc w:val="center"/>
      <w:rPr>
        <w:rFonts w:cs="Times New Roman"/>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documentProtection w:enforcement="0"/>
  <w:defaultTabStop w:val="720"/>
  <w:doNotHyphenateCaps/>
  <w:drawingGridHorizontalSpacing w:val="110"/>
  <w:noPunctuationKerning w:val="1"/>
  <w:characterSpacingControl w:val="doNotCompress"/>
  <w:noLineBreaksAfter w:lang="zh-CN" w:val="$([{£¥·‘“〈《「『【〔〖〝﹙﹛﹝＄（．［｛￡￥"/>
  <w:noLineBreaksBefore w:lang="zh-CN" w:val="!%),.:;&gt;?]}¢¨°·ˇˉ―‖’”…‰′″›℃∶、。〃〉》」』】〕〗〞︶︺︾﹀﹄﹚﹜﹞！＂％＇），．：；？］｀｜｝～￠"/>
  <w:doNotValidateAgainstSchema/>
  <w:doNotDemarcateInvalidXml/>
  <w:compat>
    <w:doNotExpandShiftReturn/>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A1NDg1NTA4ZjcxYTZjOGQ0OGU2MzgyYTY3MmE4YTYifQ=="/>
  </w:docVars>
  <w:rsids>
    <w:rsidRoot w:val="00D31D50"/>
    <w:rsid w:val="00047D9B"/>
    <w:rsid w:val="000613A7"/>
    <w:rsid w:val="000635EC"/>
    <w:rsid w:val="000642E1"/>
    <w:rsid w:val="00064ED8"/>
    <w:rsid w:val="00072362"/>
    <w:rsid w:val="000738DE"/>
    <w:rsid w:val="000757B1"/>
    <w:rsid w:val="00080C05"/>
    <w:rsid w:val="000949BD"/>
    <w:rsid w:val="000A3A5F"/>
    <w:rsid w:val="000B1618"/>
    <w:rsid w:val="000C0D9F"/>
    <w:rsid w:val="000C4041"/>
    <w:rsid w:val="000D6074"/>
    <w:rsid w:val="000D76B5"/>
    <w:rsid w:val="000E36D9"/>
    <w:rsid w:val="000F727F"/>
    <w:rsid w:val="00100137"/>
    <w:rsid w:val="00105DCE"/>
    <w:rsid w:val="00113E39"/>
    <w:rsid w:val="001172EC"/>
    <w:rsid w:val="00121946"/>
    <w:rsid w:val="00123E51"/>
    <w:rsid w:val="001261F6"/>
    <w:rsid w:val="00127853"/>
    <w:rsid w:val="00130317"/>
    <w:rsid w:val="00136079"/>
    <w:rsid w:val="001375BF"/>
    <w:rsid w:val="001405A9"/>
    <w:rsid w:val="00143DC9"/>
    <w:rsid w:val="00145BEE"/>
    <w:rsid w:val="00153A7D"/>
    <w:rsid w:val="00163F64"/>
    <w:rsid w:val="00172C3A"/>
    <w:rsid w:val="00173D47"/>
    <w:rsid w:val="00186B75"/>
    <w:rsid w:val="00193E29"/>
    <w:rsid w:val="001955AC"/>
    <w:rsid w:val="001958DB"/>
    <w:rsid w:val="001A3195"/>
    <w:rsid w:val="001B08B6"/>
    <w:rsid w:val="001B7522"/>
    <w:rsid w:val="001C53E3"/>
    <w:rsid w:val="001C5601"/>
    <w:rsid w:val="001D36B8"/>
    <w:rsid w:val="001E006E"/>
    <w:rsid w:val="001E274D"/>
    <w:rsid w:val="001F4434"/>
    <w:rsid w:val="002178DC"/>
    <w:rsid w:val="00221996"/>
    <w:rsid w:val="00235667"/>
    <w:rsid w:val="00236F34"/>
    <w:rsid w:val="00242413"/>
    <w:rsid w:val="00242848"/>
    <w:rsid w:val="00243B88"/>
    <w:rsid w:val="00251525"/>
    <w:rsid w:val="00261E71"/>
    <w:rsid w:val="0027093A"/>
    <w:rsid w:val="00284AB3"/>
    <w:rsid w:val="00287069"/>
    <w:rsid w:val="0029178F"/>
    <w:rsid w:val="002A7FC5"/>
    <w:rsid w:val="002B14BC"/>
    <w:rsid w:val="002C0BAF"/>
    <w:rsid w:val="002C3DF7"/>
    <w:rsid w:val="002C5EF9"/>
    <w:rsid w:val="002D6F82"/>
    <w:rsid w:val="002D7437"/>
    <w:rsid w:val="002E2B46"/>
    <w:rsid w:val="002E4BA5"/>
    <w:rsid w:val="002F526B"/>
    <w:rsid w:val="002F551B"/>
    <w:rsid w:val="00301E09"/>
    <w:rsid w:val="0030682F"/>
    <w:rsid w:val="00307371"/>
    <w:rsid w:val="00310FE1"/>
    <w:rsid w:val="00311630"/>
    <w:rsid w:val="00322F30"/>
    <w:rsid w:val="00323B43"/>
    <w:rsid w:val="00324422"/>
    <w:rsid w:val="00325050"/>
    <w:rsid w:val="003302F2"/>
    <w:rsid w:val="00341409"/>
    <w:rsid w:val="00342989"/>
    <w:rsid w:val="003448A9"/>
    <w:rsid w:val="003530B3"/>
    <w:rsid w:val="00382FC0"/>
    <w:rsid w:val="00386384"/>
    <w:rsid w:val="00390551"/>
    <w:rsid w:val="003B330C"/>
    <w:rsid w:val="003B66CC"/>
    <w:rsid w:val="003C1734"/>
    <w:rsid w:val="003C6477"/>
    <w:rsid w:val="003D2271"/>
    <w:rsid w:val="003D37D8"/>
    <w:rsid w:val="003E1B91"/>
    <w:rsid w:val="003E70BB"/>
    <w:rsid w:val="003F2A16"/>
    <w:rsid w:val="003F4638"/>
    <w:rsid w:val="003F610C"/>
    <w:rsid w:val="003F7173"/>
    <w:rsid w:val="00401492"/>
    <w:rsid w:val="00402A95"/>
    <w:rsid w:val="0040465C"/>
    <w:rsid w:val="00404D16"/>
    <w:rsid w:val="00422B62"/>
    <w:rsid w:val="00426133"/>
    <w:rsid w:val="00435887"/>
    <w:rsid w:val="004358AB"/>
    <w:rsid w:val="00435984"/>
    <w:rsid w:val="00440AC6"/>
    <w:rsid w:val="00444779"/>
    <w:rsid w:val="004463CC"/>
    <w:rsid w:val="004567F9"/>
    <w:rsid w:val="00460FA9"/>
    <w:rsid w:val="004819FC"/>
    <w:rsid w:val="004869D0"/>
    <w:rsid w:val="0048728C"/>
    <w:rsid w:val="004949AB"/>
    <w:rsid w:val="004A6644"/>
    <w:rsid w:val="004B47B9"/>
    <w:rsid w:val="004B4D8F"/>
    <w:rsid w:val="004B6809"/>
    <w:rsid w:val="004C2E52"/>
    <w:rsid w:val="004F3A4A"/>
    <w:rsid w:val="0050462B"/>
    <w:rsid w:val="00511161"/>
    <w:rsid w:val="0052039E"/>
    <w:rsid w:val="005255C0"/>
    <w:rsid w:val="00536BCA"/>
    <w:rsid w:val="00540B5E"/>
    <w:rsid w:val="005469EC"/>
    <w:rsid w:val="00561192"/>
    <w:rsid w:val="0056732A"/>
    <w:rsid w:val="005748AF"/>
    <w:rsid w:val="00574A93"/>
    <w:rsid w:val="005767EE"/>
    <w:rsid w:val="00577861"/>
    <w:rsid w:val="0059547F"/>
    <w:rsid w:val="005A0976"/>
    <w:rsid w:val="005A1C3C"/>
    <w:rsid w:val="005A5F61"/>
    <w:rsid w:val="005C658C"/>
    <w:rsid w:val="005D28AD"/>
    <w:rsid w:val="005D5BB8"/>
    <w:rsid w:val="005E262A"/>
    <w:rsid w:val="00606F61"/>
    <w:rsid w:val="00622D64"/>
    <w:rsid w:val="0063397A"/>
    <w:rsid w:val="00633D48"/>
    <w:rsid w:val="0064078F"/>
    <w:rsid w:val="00641B3C"/>
    <w:rsid w:val="006448E8"/>
    <w:rsid w:val="00646AFE"/>
    <w:rsid w:val="00661227"/>
    <w:rsid w:val="00666F96"/>
    <w:rsid w:val="00667A0B"/>
    <w:rsid w:val="00675936"/>
    <w:rsid w:val="00692496"/>
    <w:rsid w:val="006B69FA"/>
    <w:rsid w:val="006C2640"/>
    <w:rsid w:val="006C3D00"/>
    <w:rsid w:val="006E7EDD"/>
    <w:rsid w:val="006F2F0C"/>
    <w:rsid w:val="00711720"/>
    <w:rsid w:val="00711926"/>
    <w:rsid w:val="00715025"/>
    <w:rsid w:val="00717F20"/>
    <w:rsid w:val="00724BD5"/>
    <w:rsid w:val="007251EE"/>
    <w:rsid w:val="00727AA8"/>
    <w:rsid w:val="007342B1"/>
    <w:rsid w:val="0074045E"/>
    <w:rsid w:val="00740E46"/>
    <w:rsid w:val="00746187"/>
    <w:rsid w:val="00746C79"/>
    <w:rsid w:val="00750A1D"/>
    <w:rsid w:val="007573C8"/>
    <w:rsid w:val="00784F3B"/>
    <w:rsid w:val="00785E27"/>
    <w:rsid w:val="00785FDC"/>
    <w:rsid w:val="007954C6"/>
    <w:rsid w:val="007A2586"/>
    <w:rsid w:val="007A2FF4"/>
    <w:rsid w:val="007B4E0A"/>
    <w:rsid w:val="007B5371"/>
    <w:rsid w:val="007B6A85"/>
    <w:rsid w:val="007D2F45"/>
    <w:rsid w:val="007D4FB6"/>
    <w:rsid w:val="00814EDF"/>
    <w:rsid w:val="00817B97"/>
    <w:rsid w:val="00824663"/>
    <w:rsid w:val="00827D37"/>
    <w:rsid w:val="00836360"/>
    <w:rsid w:val="00836B3F"/>
    <w:rsid w:val="00850858"/>
    <w:rsid w:val="00866A0C"/>
    <w:rsid w:val="00871080"/>
    <w:rsid w:val="00881E14"/>
    <w:rsid w:val="008867DF"/>
    <w:rsid w:val="00887663"/>
    <w:rsid w:val="008A20AC"/>
    <w:rsid w:val="008B7726"/>
    <w:rsid w:val="008D37E0"/>
    <w:rsid w:val="008D598C"/>
    <w:rsid w:val="008E0C10"/>
    <w:rsid w:val="008E3E6F"/>
    <w:rsid w:val="008E4242"/>
    <w:rsid w:val="008F4D6A"/>
    <w:rsid w:val="009017A4"/>
    <w:rsid w:val="009041B0"/>
    <w:rsid w:val="00916099"/>
    <w:rsid w:val="00922986"/>
    <w:rsid w:val="009345B7"/>
    <w:rsid w:val="00935908"/>
    <w:rsid w:val="0094410A"/>
    <w:rsid w:val="009452AF"/>
    <w:rsid w:val="0094627C"/>
    <w:rsid w:val="0094677D"/>
    <w:rsid w:val="0095044D"/>
    <w:rsid w:val="009514A4"/>
    <w:rsid w:val="00951FA7"/>
    <w:rsid w:val="0097249C"/>
    <w:rsid w:val="0098473B"/>
    <w:rsid w:val="00990FD9"/>
    <w:rsid w:val="0099239F"/>
    <w:rsid w:val="009A1057"/>
    <w:rsid w:val="009B6541"/>
    <w:rsid w:val="009B7AAA"/>
    <w:rsid w:val="009E74CD"/>
    <w:rsid w:val="009F51DD"/>
    <w:rsid w:val="00A12B4E"/>
    <w:rsid w:val="00A16135"/>
    <w:rsid w:val="00A17312"/>
    <w:rsid w:val="00A216C8"/>
    <w:rsid w:val="00A23DBF"/>
    <w:rsid w:val="00A255C4"/>
    <w:rsid w:val="00A41D7D"/>
    <w:rsid w:val="00A4202C"/>
    <w:rsid w:val="00A43B54"/>
    <w:rsid w:val="00A50AF8"/>
    <w:rsid w:val="00A555C9"/>
    <w:rsid w:val="00A70B07"/>
    <w:rsid w:val="00A74CFD"/>
    <w:rsid w:val="00A91731"/>
    <w:rsid w:val="00A92E1A"/>
    <w:rsid w:val="00A935FA"/>
    <w:rsid w:val="00A93E39"/>
    <w:rsid w:val="00A93E59"/>
    <w:rsid w:val="00AA57BF"/>
    <w:rsid w:val="00AB569E"/>
    <w:rsid w:val="00AC722B"/>
    <w:rsid w:val="00AE1BD0"/>
    <w:rsid w:val="00AF00A5"/>
    <w:rsid w:val="00AF1F39"/>
    <w:rsid w:val="00AF5C04"/>
    <w:rsid w:val="00B007D7"/>
    <w:rsid w:val="00B246C5"/>
    <w:rsid w:val="00B2646C"/>
    <w:rsid w:val="00B42E52"/>
    <w:rsid w:val="00B4438D"/>
    <w:rsid w:val="00B51384"/>
    <w:rsid w:val="00B52EE5"/>
    <w:rsid w:val="00B5439A"/>
    <w:rsid w:val="00B57295"/>
    <w:rsid w:val="00B670AB"/>
    <w:rsid w:val="00B71E54"/>
    <w:rsid w:val="00B749F3"/>
    <w:rsid w:val="00B80437"/>
    <w:rsid w:val="00B81CE4"/>
    <w:rsid w:val="00B90409"/>
    <w:rsid w:val="00B91978"/>
    <w:rsid w:val="00B97BF2"/>
    <w:rsid w:val="00BA582F"/>
    <w:rsid w:val="00BB589B"/>
    <w:rsid w:val="00BC2545"/>
    <w:rsid w:val="00BC334B"/>
    <w:rsid w:val="00BC35CF"/>
    <w:rsid w:val="00BD4BB7"/>
    <w:rsid w:val="00BE2230"/>
    <w:rsid w:val="00BF316F"/>
    <w:rsid w:val="00BF57A2"/>
    <w:rsid w:val="00C14B91"/>
    <w:rsid w:val="00C27D2F"/>
    <w:rsid w:val="00C30135"/>
    <w:rsid w:val="00C32662"/>
    <w:rsid w:val="00C3675C"/>
    <w:rsid w:val="00C37DBE"/>
    <w:rsid w:val="00C41C2E"/>
    <w:rsid w:val="00C47A78"/>
    <w:rsid w:val="00C51CFF"/>
    <w:rsid w:val="00C53B28"/>
    <w:rsid w:val="00C557EB"/>
    <w:rsid w:val="00C7143A"/>
    <w:rsid w:val="00C76BBB"/>
    <w:rsid w:val="00C81F5E"/>
    <w:rsid w:val="00C925D5"/>
    <w:rsid w:val="00C933A8"/>
    <w:rsid w:val="00CA691E"/>
    <w:rsid w:val="00CB29BD"/>
    <w:rsid w:val="00CC175B"/>
    <w:rsid w:val="00CC2BE2"/>
    <w:rsid w:val="00CC64F6"/>
    <w:rsid w:val="00CC7B9A"/>
    <w:rsid w:val="00CD0DB9"/>
    <w:rsid w:val="00CD16A8"/>
    <w:rsid w:val="00CE193C"/>
    <w:rsid w:val="00CE281D"/>
    <w:rsid w:val="00CF134B"/>
    <w:rsid w:val="00CF147A"/>
    <w:rsid w:val="00CF24DC"/>
    <w:rsid w:val="00CF411A"/>
    <w:rsid w:val="00CF5987"/>
    <w:rsid w:val="00CF5A81"/>
    <w:rsid w:val="00D058E8"/>
    <w:rsid w:val="00D102D7"/>
    <w:rsid w:val="00D119F0"/>
    <w:rsid w:val="00D31D50"/>
    <w:rsid w:val="00D40ED2"/>
    <w:rsid w:val="00D45432"/>
    <w:rsid w:val="00D6319A"/>
    <w:rsid w:val="00D775FD"/>
    <w:rsid w:val="00D81C38"/>
    <w:rsid w:val="00D84F1B"/>
    <w:rsid w:val="00D96512"/>
    <w:rsid w:val="00DA5D79"/>
    <w:rsid w:val="00DA6D92"/>
    <w:rsid w:val="00DC00A8"/>
    <w:rsid w:val="00DC77CB"/>
    <w:rsid w:val="00DD6783"/>
    <w:rsid w:val="00DE0768"/>
    <w:rsid w:val="00DE2C33"/>
    <w:rsid w:val="00DF1CD4"/>
    <w:rsid w:val="00DF7C01"/>
    <w:rsid w:val="00E00302"/>
    <w:rsid w:val="00E07BF3"/>
    <w:rsid w:val="00E13D5C"/>
    <w:rsid w:val="00E36F54"/>
    <w:rsid w:val="00E50C0F"/>
    <w:rsid w:val="00E520E5"/>
    <w:rsid w:val="00E65183"/>
    <w:rsid w:val="00E745B2"/>
    <w:rsid w:val="00E76A28"/>
    <w:rsid w:val="00E77FE4"/>
    <w:rsid w:val="00E82B4F"/>
    <w:rsid w:val="00E82B6A"/>
    <w:rsid w:val="00E85197"/>
    <w:rsid w:val="00E85C06"/>
    <w:rsid w:val="00E916F2"/>
    <w:rsid w:val="00EB5A3C"/>
    <w:rsid w:val="00EC2ED9"/>
    <w:rsid w:val="00EC3F6A"/>
    <w:rsid w:val="00EC55DE"/>
    <w:rsid w:val="00EC7FA7"/>
    <w:rsid w:val="00ED4CEB"/>
    <w:rsid w:val="00EE00A4"/>
    <w:rsid w:val="00F02A70"/>
    <w:rsid w:val="00F04078"/>
    <w:rsid w:val="00F102DB"/>
    <w:rsid w:val="00F249E8"/>
    <w:rsid w:val="00F33AFC"/>
    <w:rsid w:val="00F40100"/>
    <w:rsid w:val="00F55F54"/>
    <w:rsid w:val="00F60974"/>
    <w:rsid w:val="00F643AD"/>
    <w:rsid w:val="00F64AD3"/>
    <w:rsid w:val="00F6594D"/>
    <w:rsid w:val="00F665E6"/>
    <w:rsid w:val="00F66D48"/>
    <w:rsid w:val="00F67AE6"/>
    <w:rsid w:val="00F803A4"/>
    <w:rsid w:val="00F822AA"/>
    <w:rsid w:val="00F86FB6"/>
    <w:rsid w:val="00F9085E"/>
    <w:rsid w:val="00F95A9C"/>
    <w:rsid w:val="00F95DDE"/>
    <w:rsid w:val="00FA2870"/>
    <w:rsid w:val="00FA3768"/>
    <w:rsid w:val="00FA5D09"/>
    <w:rsid w:val="00FB6338"/>
    <w:rsid w:val="00FC4EB8"/>
    <w:rsid w:val="00FD0851"/>
    <w:rsid w:val="00FD3C2B"/>
    <w:rsid w:val="00FF5F8A"/>
    <w:rsid w:val="037179BF"/>
    <w:rsid w:val="037405E1"/>
    <w:rsid w:val="03911D4B"/>
    <w:rsid w:val="03CC665E"/>
    <w:rsid w:val="053E7672"/>
    <w:rsid w:val="05B00319"/>
    <w:rsid w:val="07221B9E"/>
    <w:rsid w:val="072A0267"/>
    <w:rsid w:val="07FC2953"/>
    <w:rsid w:val="0AC46FD9"/>
    <w:rsid w:val="0C142328"/>
    <w:rsid w:val="0C162666"/>
    <w:rsid w:val="0C25691C"/>
    <w:rsid w:val="0C542D5E"/>
    <w:rsid w:val="0D4903E8"/>
    <w:rsid w:val="102925EA"/>
    <w:rsid w:val="10A560A6"/>
    <w:rsid w:val="10BE5F5D"/>
    <w:rsid w:val="118A3D28"/>
    <w:rsid w:val="12E77440"/>
    <w:rsid w:val="145C30F7"/>
    <w:rsid w:val="1525798D"/>
    <w:rsid w:val="15642EE4"/>
    <w:rsid w:val="15A72150"/>
    <w:rsid w:val="16A55F98"/>
    <w:rsid w:val="17410623"/>
    <w:rsid w:val="17A3655A"/>
    <w:rsid w:val="17C36FE9"/>
    <w:rsid w:val="183543A6"/>
    <w:rsid w:val="18AB63FB"/>
    <w:rsid w:val="19052329"/>
    <w:rsid w:val="19471B5D"/>
    <w:rsid w:val="195E6FCA"/>
    <w:rsid w:val="1AF2200F"/>
    <w:rsid w:val="1BE063BC"/>
    <w:rsid w:val="1BE22134"/>
    <w:rsid w:val="1C6E5776"/>
    <w:rsid w:val="1CFB10BA"/>
    <w:rsid w:val="1F841EC1"/>
    <w:rsid w:val="2023762E"/>
    <w:rsid w:val="21D267A7"/>
    <w:rsid w:val="23E34C9B"/>
    <w:rsid w:val="240A326F"/>
    <w:rsid w:val="241A61E3"/>
    <w:rsid w:val="24D34D10"/>
    <w:rsid w:val="25032476"/>
    <w:rsid w:val="26466352"/>
    <w:rsid w:val="26A847D4"/>
    <w:rsid w:val="27383550"/>
    <w:rsid w:val="277014F1"/>
    <w:rsid w:val="27EE52C3"/>
    <w:rsid w:val="28357A8F"/>
    <w:rsid w:val="283D6944"/>
    <w:rsid w:val="286871AB"/>
    <w:rsid w:val="287C746C"/>
    <w:rsid w:val="288A7DDB"/>
    <w:rsid w:val="292F44DF"/>
    <w:rsid w:val="295403E9"/>
    <w:rsid w:val="2D631A2D"/>
    <w:rsid w:val="2DBE22D5"/>
    <w:rsid w:val="2F0957D2"/>
    <w:rsid w:val="30DF2C8E"/>
    <w:rsid w:val="316136A3"/>
    <w:rsid w:val="31A57F83"/>
    <w:rsid w:val="32193F7E"/>
    <w:rsid w:val="32A93554"/>
    <w:rsid w:val="32E837FA"/>
    <w:rsid w:val="33096AF0"/>
    <w:rsid w:val="33566EBE"/>
    <w:rsid w:val="341C44FF"/>
    <w:rsid w:val="34313840"/>
    <w:rsid w:val="34414897"/>
    <w:rsid w:val="34654450"/>
    <w:rsid w:val="34BF7331"/>
    <w:rsid w:val="35926521"/>
    <w:rsid w:val="360F7B72"/>
    <w:rsid w:val="36347E29"/>
    <w:rsid w:val="364C2898"/>
    <w:rsid w:val="36C600EC"/>
    <w:rsid w:val="37066BB5"/>
    <w:rsid w:val="38F31CCA"/>
    <w:rsid w:val="392B6BA7"/>
    <w:rsid w:val="395D0597"/>
    <w:rsid w:val="39616936"/>
    <w:rsid w:val="398035D5"/>
    <w:rsid w:val="39BC1865"/>
    <w:rsid w:val="39FE4185"/>
    <w:rsid w:val="3AD22B33"/>
    <w:rsid w:val="3AE50CFF"/>
    <w:rsid w:val="3B0A6B5A"/>
    <w:rsid w:val="3B471B5C"/>
    <w:rsid w:val="3B5646FB"/>
    <w:rsid w:val="3C1A24DE"/>
    <w:rsid w:val="3CCB226B"/>
    <w:rsid w:val="3CFD4BC8"/>
    <w:rsid w:val="3DA656CD"/>
    <w:rsid w:val="3DC32F7C"/>
    <w:rsid w:val="3DD04F8E"/>
    <w:rsid w:val="3E043D34"/>
    <w:rsid w:val="3EBE7890"/>
    <w:rsid w:val="3F3D7E29"/>
    <w:rsid w:val="3FD73912"/>
    <w:rsid w:val="3FEE6892"/>
    <w:rsid w:val="3FFD6A46"/>
    <w:rsid w:val="408161CE"/>
    <w:rsid w:val="41C204BF"/>
    <w:rsid w:val="42770F78"/>
    <w:rsid w:val="42AE56C4"/>
    <w:rsid w:val="42F273CF"/>
    <w:rsid w:val="43D93D10"/>
    <w:rsid w:val="451A7B76"/>
    <w:rsid w:val="464773B4"/>
    <w:rsid w:val="47CB7C1B"/>
    <w:rsid w:val="48030BB8"/>
    <w:rsid w:val="49B529C1"/>
    <w:rsid w:val="4CB6269D"/>
    <w:rsid w:val="4CD945DE"/>
    <w:rsid w:val="4CE865CF"/>
    <w:rsid w:val="4D3D710F"/>
    <w:rsid w:val="4EA76741"/>
    <w:rsid w:val="523329C6"/>
    <w:rsid w:val="53051C89"/>
    <w:rsid w:val="532C73DB"/>
    <w:rsid w:val="534751ED"/>
    <w:rsid w:val="54755AE6"/>
    <w:rsid w:val="54871B46"/>
    <w:rsid w:val="54A101E4"/>
    <w:rsid w:val="54E3492E"/>
    <w:rsid w:val="55E44A2C"/>
    <w:rsid w:val="5621502B"/>
    <w:rsid w:val="56CE4291"/>
    <w:rsid w:val="57623B4D"/>
    <w:rsid w:val="583059FA"/>
    <w:rsid w:val="586069A0"/>
    <w:rsid w:val="58E862D4"/>
    <w:rsid w:val="59E95E67"/>
    <w:rsid w:val="5A3C71D5"/>
    <w:rsid w:val="5BEB033F"/>
    <w:rsid w:val="5C110618"/>
    <w:rsid w:val="5CF80573"/>
    <w:rsid w:val="5D1551BE"/>
    <w:rsid w:val="5D203D40"/>
    <w:rsid w:val="5D375134"/>
    <w:rsid w:val="5DAD3649"/>
    <w:rsid w:val="5E134CDD"/>
    <w:rsid w:val="5F30008D"/>
    <w:rsid w:val="60402552"/>
    <w:rsid w:val="60570B09"/>
    <w:rsid w:val="606036A1"/>
    <w:rsid w:val="61CB37A2"/>
    <w:rsid w:val="622B0FE0"/>
    <w:rsid w:val="64122457"/>
    <w:rsid w:val="65851880"/>
    <w:rsid w:val="662D0675"/>
    <w:rsid w:val="66331170"/>
    <w:rsid w:val="673D24F4"/>
    <w:rsid w:val="67780823"/>
    <w:rsid w:val="67DD116E"/>
    <w:rsid w:val="68817B14"/>
    <w:rsid w:val="69E91470"/>
    <w:rsid w:val="69FF6FDA"/>
    <w:rsid w:val="6A031586"/>
    <w:rsid w:val="6AA23744"/>
    <w:rsid w:val="6B397FBC"/>
    <w:rsid w:val="6B4A0729"/>
    <w:rsid w:val="6C2C2C28"/>
    <w:rsid w:val="6C4B0109"/>
    <w:rsid w:val="6D140FEE"/>
    <w:rsid w:val="6E8668CF"/>
    <w:rsid w:val="6E890338"/>
    <w:rsid w:val="6E9C129B"/>
    <w:rsid w:val="6ED30A35"/>
    <w:rsid w:val="6FA36659"/>
    <w:rsid w:val="6FBD33FE"/>
    <w:rsid w:val="700A0487"/>
    <w:rsid w:val="718E6477"/>
    <w:rsid w:val="71995F66"/>
    <w:rsid w:val="71C847B3"/>
    <w:rsid w:val="720A602E"/>
    <w:rsid w:val="722D66AE"/>
    <w:rsid w:val="723914F7"/>
    <w:rsid w:val="72AC633F"/>
    <w:rsid w:val="734737A0"/>
    <w:rsid w:val="738A025C"/>
    <w:rsid w:val="7502507F"/>
    <w:rsid w:val="755974E6"/>
    <w:rsid w:val="76CC293A"/>
    <w:rsid w:val="770153E0"/>
    <w:rsid w:val="772B3963"/>
    <w:rsid w:val="779B50F7"/>
    <w:rsid w:val="789522FD"/>
    <w:rsid w:val="78C23FF4"/>
    <w:rsid w:val="79327008"/>
    <w:rsid w:val="7CA23B0B"/>
    <w:rsid w:val="7D1E3873"/>
    <w:rsid w:val="7DDA3B8E"/>
    <w:rsid w:val="7E0B3D48"/>
    <w:rsid w:val="7E2D4406"/>
    <w:rsid w:val="7FC41F81"/>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unhideWhenUsed="0" w:uiPriority="99" w:semiHidden="0" w:name="header"/>
    <w:lsdException w:qFormat="1" w:unhideWhenUsed="0" w:uiPriority="99"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nhideWhenUsed="0" w:uiPriority="99"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unhideWhenUsed="0" w:uiPriority="0" w:semiHidden="0" w:name="Table Grid" w:locked="1"/>
    <w:lsdException w:uiPriority="99" w:name="Table Theme"/>
    <w:lsdException w:unhideWhenUsed="0" w:uiPriority="99" w:semiHidden="0"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adjustRightInd w:val="0"/>
      <w:snapToGrid w:val="0"/>
      <w:spacing w:after="200"/>
    </w:pPr>
    <w:rPr>
      <w:rFonts w:ascii="Tahoma" w:hAnsi="Tahoma" w:eastAsia="微软雅黑" w:cs="Tahoma"/>
      <w:kern w:val="0"/>
      <w:sz w:val="22"/>
      <w:szCs w:val="22"/>
      <w:lang w:val="en-US" w:eastAsia="zh-CN" w:bidi="ar-SA"/>
    </w:rPr>
  </w:style>
  <w:style w:type="character" w:default="1" w:styleId="9">
    <w:name w:val="Default Paragraph Font"/>
    <w:semiHidden/>
    <w:uiPriority w:val="99"/>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1"/>
    <w:qFormat/>
    <w:uiPriority w:val="99"/>
    <w:pPr>
      <w:jc w:val="center"/>
    </w:pPr>
    <w:rPr>
      <w:rFonts w:ascii="Times New Roman" w:hAnsi="Times New Roman" w:eastAsia="华文中宋" w:cs="Times New Roman"/>
      <w:sz w:val="44"/>
      <w:szCs w:val="44"/>
    </w:rPr>
  </w:style>
  <w:style w:type="paragraph" w:styleId="3">
    <w:name w:val="Date"/>
    <w:basedOn w:val="1"/>
    <w:next w:val="1"/>
    <w:link w:val="12"/>
    <w:semiHidden/>
    <w:qFormat/>
    <w:uiPriority w:val="99"/>
    <w:pPr>
      <w:ind w:left="100" w:leftChars="2500"/>
    </w:pPr>
  </w:style>
  <w:style w:type="paragraph" w:styleId="4">
    <w:name w:val="Balloon Text"/>
    <w:basedOn w:val="1"/>
    <w:link w:val="13"/>
    <w:semiHidden/>
    <w:qFormat/>
    <w:uiPriority w:val="99"/>
    <w:pPr>
      <w:spacing w:after="0"/>
    </w:pPr>
    <w:rPr>
      <w:sz w:val="18"/>
      <w:szCs w:val="18"/>
    </w:rPr>
  </w:style>
  <w:style w:type="paragraph" w:styleId="5">
    <w:name w:val="footer"/>
    <w:basedOn w:val="1"/>
    <w:link w:val="14"/>
    <w:semiHidden/>
    <w:qFormat/>
    <w:uiPriority w:val="99"/>
    <w:pPr>
      <w:widowControl w:val="0"/>
      <w:tabs>
        <w:tab w:val="center" w:pos="4153"/>
        <w:tab w:val="right" w:pos="8306"/>
      </w:tabs>
      <w:adjustRightInd/>
      <w:spacing w:after="0"/>
    </w:pPr>
    <w:rPr>
      <w:rFonts w:ascii="Calibri" w:hAnsi="Calibri" w:eastAsia="宋体" w:cs="Calibri"/>
      <w:kern w:val="2"/>
      <w:sz w:val="18"/>
      <w:szCs w:val="18"/>
    </w:rPr>
  </w:style>
  <w:style w:type="paragraph" w:styleId="6">
    <w:name w:val="header"/>
    <w:basedOn w:val="1"/>
    <w:link w:val="18"/>
    <w:uiPriority w:val="99"/>
    <w:pPr>
      <w:pBdr>
        <w:bottom w:val="single" w:color="auto" w:sz="6" w:space="1"/>
      </w:pBdr>
      <w:tabs>
        <w:tab w:val="center" w:pos="4153"/>
        <w:tab w:val="right" w:pos="8306"/>
      </w:tabs>
      <w:jc w:val="center"/>
    </w:pPr>
    <w:rPr>
      <w:sz w:val="18"/>
      <w:szCs w:val="18"/>
    </w:rPr>
  </w:style>
  <w:style w:type="paragraph" w:styleId="7">
    <w:name w:val="Normal (Web)"/>
    <w:basedOn w:val="1"/>
    <w:uiPriority w:val="99"/>
    <w:pPr>
      <w:adjustRightInd/>
      <w:snapToGrid/>
      <w:spacing w:before="100" w:beforeAutospacing="1" w:after="100" w:afterAutospacing="1"/>
    </w:pPr>
    <w:rPr>
      <w:rFonts w:ascii="宋体" w:hAnsi="宋体" w:eastAsia="宋体" w:cs="宋体"/>
      <w:sz w:val="24"/>
      <w:szCs w:val="24"/>
    </w:rPr>
  </w:style>
  <w:style w:type="character" w:styleId="10">
    <w:name w:val="page number"/>
    <w:basedOn w:val="9"/>
    <w:qFormat/>
    <w:uiPriority w:val="99"/>
  </w:style>
  <w:style w:type="character" w:customStyle="1" w:styleId="11">
    <w:name w:val="Body Text Char"/>
    <w:basedOn w:val="9"/>
    <w:link w:val="2"/>
    <w:semiHidden/>
    <w:qFormat/>
    <w:uiPriority w:val="99"/>
    <w:rPr>
      <w:rFonts w:ascii="Tahoma" w:hAnsi="Tahoma" w:eastAsia="微软雅黑" w:cs="Tahoma"/>
      <w:kern w:val="0"/>
      <w:sz w:val="22"/>
    </w:rPr>
  </w:style>
  <w:style w:type="character" w:customStyle="1" w:styleId="12">
    <w:name w:val="Date Char"/>
    <w:basedOn w:val="9"/>
    <w:link w:val="3"/>
    <w:semiHidden/>
    <w:qFormat/>
    <w:locked/>
    <w:uiPriority w:val="99"/>
    <w:rPr>
      <w:rFonts w:ascii="Tahoma" w:hAnsi="Tahoma" w:cs="Tahoma"/>
      <w:sz w:val="22"/>
      <w:szCs w:val="22"/>
    </w:rPr>
  </w:style>
  <w:style w:type="character" w:customStyle="1" w:styleId="13">
    <w:name w:val="Balloon Text Char"/>
    <w:basedOn w:val="9"/>
    <w:link w:val="4"/>
    <w:semiHidden/>
    <w:locked/>
    <w:uiPriority w:val="99"/>
    <w:rPr>
      <w:rFonts w:ascii="Tahoma" w:hAnsi="Tahoma" w:cs="Tahoma"/>
      <w:sz w:val="18"/>
      <w:szCs w:val="18"/>
    </w:rPr>
  </w:style>
  <w:style w:type="character" w:customStyle="1" w:styleId="14">
    <w:name w:val="Footer Char"/>
    <w:basedOn w:val="9"/>
    <w:link w:val="5"/>
    <w:semiHidden/>
    <w:locked/>
    <w:uiPriority w:val="99"/>
    <w:rPr>
      <w:rFonts w:eastAsia="宋体"/>
      <w:kern w:val="2"/>
      <w:sz w:val="18"/>
      <w:szCs w:val="18"/>
    </w:rPr>
  </w:style>
  <w:style w:type="paragraph" w:customStyle="1" w:styleId="15">
    <w:name w:val="正文1"/>
    <w:uiPriority w:val="99"/>
    <w:pPr>
      <w:jc w:val="both"/>
    </w:pPr>
    <w:rPr>
      <w:rFonts w:ascii="Times New Roman" w:hAnsi="Times New Roman" w:eastAsia="宋体" w:cs="Times New Roman"/>
      <w:kern w:val="2"/>
      <w:sz w:val="21"/>
      <w:szCs w:val="21"/>
      <w:lang w:val="en-US" w:eastAsia="zh-CN" w:bidi="ar-SA"/>
    </w:rPr>
  </w:style>
  <w:style w:type="paragraph" w:styleId="16">
    <w:name w:val="List Paragraph"/>
    <w:basedOn w:val="1"/>
    <w:qFormat/>
    <w:uiPriority w:val="99"/>
    <w:pPr>
      <w:ind w:firstLine="420" w:firstLineChars="200"/>
    </w:pPr>
  </w:style>
  <w:style w:type="character" w:styleId="17">
    <w:name w:val="Placeholder Text"/>
    <w:basedOn w:val="9"/>
    <w:uiPriority w:val="99"/>
    <w:rPr>
      <w:color w:val="808080"/>
    </w:rPr>
  </w:style>
  <w:style w:type="character" w:customStyle="1" w:styleId="18">
    <w:name w:val="Header Char"/>
    <w:basedOn w:val="9"/>
    <w:link w:val="6"/>
    <w:semiHidden/>
    <w:qFormat/>
    <w:uiPriority w:val="99"/>
    <w:rPr>
      <w:rFonts w:ascii="Tahoma" w:hAnsi="Tahoma" w:eastAsia="微软雅黑" w:cs="Tahoma"/>
      <w:kern w:val="0"/>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Template>
  <Company>syyw</Company>
  <Pages>7</Pages>
  <Words>291</Words>
  <Characters>1661</Characters>
  <Lines>0</Lines>
  <Paragraphs>0</Paragraphs>
  <TotalTime>18</TotalTime>
  <ScaleCrop>false</ScaleCrop>
  <LinksUpToDate>false</LinksUpToDate>
  <CharactersWithSpaces>0</CharactersWithSpaces>
  <Application>WPS Office_11.3.0.9236_F1E327BC-269C-435d-A152-05C5408002CA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2008-09-11T17:20:00Z</dcterms:created>
  <dc:creator>Administrator</dc:creator>
  <cp:lastModifiedBy>小米Setariaitalica</cp:lastModifiedBy>
  <cp:lastPrinted>2022-05-26T06:08:00Z</cp:lastPrinted>
  <dcterms:modified xsi:type="dcterms:W3CDTF">2022-05-26T07:27:31Z</dcterms:modified>
  <cp:revision>314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2052-11.3.0.9236</vt:lpwstr>
  </property>
  <property fmtid="{D5CDD505-2E9C-101B-9397-08002B2CF9AE}" pid="3" name="ICV">
    <vt:lpwstr>4BBAE5489C8B4513982D19A0D1186576</vt:lpwstr>
  </property>
</Properties>
</file>